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val="0"/>
        <w:bidi w:val="0"/>
        <w:adjustRightInd/>
        <w:snapToGrid/>
        <w:spacing w:after="0" w:afterLines="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val="0"/>
        <w:bidi w:val="0"/>
        <w:adjustRightInd/>
        <w:snapToGrid/>
        <w:spacing w:after="0" w:afterLines="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val="0"/>
        <w:bidi w:val="0"/>
        <w:adjustRightInd/>
        <w:snapToGrid/>
        <w:spacing w:after="0" w:afterLines="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val="0"/>
        <w:bidi w:val="0"/>
        <w:adjustRightInd/>
        <w:snapToGrid/>
        <w:spacing w:after="0" w:afterLines="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val="0"/>
        <w:bidi w:val="0"/>
        <w:adjustRightInd/>
        <w:snapToGrid/>
        <w:spacing w:after="0" w:afterLines="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val="0"/>
        <w:bidi w:val="0"/>
        <w:adjustRightInd/>
        <w:snapToGrid/>
        <w:spacing w:after="0" w:afterLines="0" w:line="60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莆人社</w:t>
      </w:r>
      <w:r>
        <w:rPr>
          <w:rFonts w:hint="eastAsia" w:ascii="仿宋_GB2312" w:hAnsi="仿宋_GB2312" w:eastAsia="仿宋_GB2312" w:cs="仿宋_GB2312"/>
          <w:color w:val="000000"/>
          <w:sz w:val="32"/>
          <w:szCs w:val="32"/>
          <w:lang w:eastAsia="zh-CN"/>
        </w:rPr>
        <w:t>规</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val="en-US" w:eastAsia="zh-CN"/>
        </w:rPr>
        <w:t>7</w:t>
      </w:r>
      <w:r>
        <w:rPr>
          <w:rFonts w:hint="eastAsia" w:ascii="仿宋_GB2312" w:hAnsi="仿宋_GB2312" w:eastAsia="仿宋_GB2312" w:cs="仿宋_GB2312"/>
          <w:color w:val="000000"/>
          <w:sz w:val="32"/>
          <w:szCs w:val="32"/>
        </w:rPr>
        <w:t>号</w:t>
      </w:r>
    </w:p>
    <w:p>
      <w:pPr>
        <w:pStyle w:val="2"/>
        <w:ind w:left="0" w:leftChars="0" w:firstLine="0" w:firstLineChars="0"/>
        <w:rPr>
          <w:rFonts w:hint="eastAsia" w:ascii="仿宋_GB2312" w:hAnsi="仿宋_GB2312" w:eastAsia="仿宋_GB2312" w:cs="仿宋_GB2312"/>
          <w:color w:val="000000"/>
          <w:sz w:val="32"/>
          <w:szCs w:val="32"/>
          <w:lang w:eastAsia="zh-CN"/>
        </w:rPr>
      </w:pPr>
    </w:p>
    <w:p>
      <w:pPr>
        <w:keepNext w:val="0"/>
        <w:keepLines w:val="0"/>
        <w:pageBreakBefore w:val="0"/>
        <w:widowControl/>
        <w:kinsoku/>
        <w:wordWrap/>
        <w:overflowPunct/>
        <w:topLinePunct w:val="0"/>
        <w:autoSpaceDE/>
        <w:autoSpaceDN w:val="0"/>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pacing w:val="-11"/>
          <w:sz w:val="44"/>
          <w:szCs w:val="44"/>
          <w:lang w:val="zh-TW" w:eastAsia="zh-TW"/>
        </w:rPr>
      </w:pPr>
      <w:bookmarkStart w:id="0" w:name="OLE_LINK2"/>
      <w:r>
        <w:rPr>
          <w:rFonts w:hint="eastAsia" w:ascii="方正小标宋简体" w:hAnsi="方正小标宋简体" w:eastAsia="方正小标宋简体" w:cs="方正小标宋简体"/>
          <w:color w:val="000000"/>
          <w:spacing w:val="-17"/>
          <w:sz w:val="44"/>
          <w:szCs w:val="44"/>
          <w:lang w:val="zh-TW" w:eastAsia="zh-TW"/>
        </w:rPr>
        <w:t>莆田市人力资源和社会保障局关于印发《莆田市</w:t>
      </w:r>
    </w:p>
    <w:p>
      <w:pPr>
        <w:keepNext w:val="0"/>
        <w:keepLines w:val="0"/>
        <w:pageBreakBefore w:val="0"/>
        <w:widowControl/>
        <w:kinsoku/>
        <w:wordWrap/>
        <w:overflowPunct/>
        <w:topLinePunct w:val="0"/>
        <w:autoSpaceDE/>
        <w:autoSpaceDN w:val="0"/>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000000"/>
          <w:spacing w:val="-11"/>
          <w:sz w:val="44"/>
          <w:szCs w:val="44"/>
          <w:shd w:val="clear" w:color="auto" w:fill="FFFFFF"/>
        </w:rPr>
      </w:pPr>
      <w:r>
        <w:rPr>
          <w:rFonts w:hint="eastAsia" w:ascii="方正小标宋简体" w:hAnsi="方正小标宋简体" w:eastAsia="方正小标宋简体" w:cs="方正小标宋简体"/>
          <w:color w:val="000000"/>
          <w:spacing w:val="-11"/>
          <w:sz w:val="44"/>
          <w:szCs w:val="44"/>
          <w:lang w:val="zh-TW" w:eastAsia="zh-CN"/>
        </w:rPr>
        <w:t>规范市级</w:t>
      </w:r>
      <w:r>
        <w:rPr>
          <w:rFonts w:hint="eastAsia" w:ascii="方正小标宋简体" w:hAnsi="方正小标宋简体" w:eastAsia="方正小标宋简体" w:cs="方正小标宋简体"/>
          <w:color w:val="000000"/>
          <w:spacing w:val="-11"/>
          <w:sz w:val="44"/>
          <w:szCs w:val="44"/>
          <w:lang w:val="zh-TW" w:eastAsia="zh-TW"/>
        </w:rPr>
        <w:t>人才项目服务管理</w:t>
      </w:r>
      <w:r>
        <w:rPr>
          <w:rFonts w:hint="eastAsia" w:ascii="方正小标宋简体" w:hAnsi="方正小标宋简体" w:eastAsia="方正小标宋简体" w:cs="方正小标宋简体"/>
          <w:color w:val="000000"/>
          <w:spacing w:val="-11"/>
          <w:sz w:val="44"/>
          <w:szCs w:val="44"/>
          <w:lang w:val="en-US" w:eastAsia="zh-CN"/>
        </w:rPr>
        <w:t>办法</w:t>
      </w:r>
      <w:r>
        <w:rPr>
          <w:rFonts w:hint="eastAsia" w:ascii="方正小标宋简体" w:hAnsi="方正小标宋简体" w:eastAsia="方正小标宋简体" w:cs="方正小标宋简体"/>
          <w:color w:val="000000"/>
          <w:spacing w:val="-11"/>
          <w:sz w:val="44"/>
          <w:szCs w:val="44"/>
          <w:lang w:val="zh-TW" w:eastAsia="zh-TW"/>
        </w:rPr>
        <w:t>》的通知</w:t>
      </w:r>
    </w:p>
    <w:bookmarkEnd w:id="0"/>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zh-TW" w:eastAsia="zh-TW"/>
        </w:rPr>
        <w:t>各县（区、管委会）人社局，局机关各科室、局属</w:t>
      </w:r>
      <w:r>
        <w:rPr>
          <w:rFonts w:hint="eastAsia" w:ascii="仿宋_GB2312" w:hAnsi="仿宋_GB2312" w:eastAsia="仿宋_GB2312" w:cs="仿宋_GB2312"/>
          <w:color w:val="000000"/>
          <w:sz w:val="32"/>
          <w:szCs w:val="32"/>
          <w:lang w:val="zh-TW" w:eastAsia="zh-CN"/>
        </w:rPr>
        <w:t>各</w:t>
      </w:r>
      <w:r>
        <w:rPr>
          <w:rFonts w:hint="eastAsia" w:ascii="仿宋_GB2312" w:hAnsi="仿宋_GB2312" w:eastAsia="仿宋_GB2312" w:cs="仿宋_GB2312"/>
          <w:color w:val="000000"/>
          <w:sz w:val="32"/>
          <w:szCs w:val="32"/>
          <w:lang w:val="zh-TW" w:eastAsia="zh-TW"/>
        </w:rPr>
        <w:t>单位：</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zh-TW" w:eastAsia="zh-CN"/>
        </w:rPr>
      </w:pPr>
      <w:r>
        <w:rPr>
          <w:rFonts w:hint="eastAsia" w:ascii="仿宋_GB2312" w:hAnsi="仿宋_GB2312" w:eastAsia="仿宋_GB2312" w:cs="仿宋_GB2312"/>
          <w:color w:val="000000"/>
          <w:sz w:val="32"/>
          <w:szCs w:val="32"/>
          <w:lang w:val="zh-TW" w:eastAsia="zh-TW"/>
        </w:rPr>
        <w:t>为进一步</w:t>
      </w:r>
      <w:r>
        <w:rPr>
          <w:rFonts w:hint="default" w:ascii="仿宋_GB2312" w:hAnsi="仿宋_GB2312" w:eastAsia="仿宋_GB2312" w:cs="仿宋_GB2312"/>
          <w:color w:val="000000"/>
          <w:sz w:val="32"/>
          <w:szCs w:val="32"/>
          <w:lang w:val="zh-TW" w:eastAsia="zh-CN"/>
        </w:rPr>
        <w:t>发挥</w:t>
      </w:r>
      <w:r>
        <w:rPr>
          <w:rFonts w:hint="eastAsia" w:ascii="仿宋_GB2312" w:hAnsi="仿宋_GB2312" w:eastAsia="仿宋_GB2312" w:cs="仿宋_GB2312"/>
          <w:color w:val="000000"/>
          <w:sz w:val="32"/>
          <w:szCs w:val="32"/>
          <w:lang w:val="en-US" w:eastAsia="zh-CN"/>
        </w:rPr>
        <w:t>人才项目</w:t>
      </w:r>
      <w:r>
        <w:rPr>
          <w:rFonts w:hint="default" w:ascii="仿宋_GB2312" w:hAnsi="仿宋_GB2312" w:eastAsia="仿宋_GB2312" w:cs="仿宋_GB2312"/>
          <w:color w:val="000000"/>
          <w:sz w:val="32"/>
          <w:szCs w:val="32"/>
          <w:lang w:val="zh-TW" w:eastAsia="zh-CN"/>
        </w:rPr>
        <w:t>在</w:t>
      </w:r>
      <w:r>
        <w:rPr>
          <w:rFonts w:hint="eastAsia" w:ascii="仿宋_GB2312" w:hAnsi="仿宋_GB2312" w:eastAsia="仿宋_GB2312" w:cs="仿宋_GB2312"/>
          <w:color w:val="000000"/>
          <w:sz w:val="32"/>
          <w:szCs w:val="32"/>
          <w:lang w:val="zh-TW" w:eastAsia="zh-CN"/>
        </w:rPr>
        <w:t>提升人才效能，推动发展的积极作用，规范</w:t>
      </w:r>
      <w:r>
        <w:rPr>
          <w:rFonts w:hint="eastAsia" w:ascii="仿宋_GB2312" w:hAnsi="仿宋_GB2312" w:eastAsia="仿宋_GB2312" w:cs="仿宋_GB2312"/>
          <w:color w:val="000000"/>
          <w:sz w:val="32"/>
          <w:szCs w:val="32"/>
          <w:lang w:val="zh-TW" w:eastAsia="zh-TW"/>
        </w:rPr>
        <w:t>大中专毕业生就业见习基地、高校毕业生创业孵化基地、</w:t>
      </w:r>
      <w:r>
        <w:rPr>
          <w:rFonts w:hint="eastAsia" w:ascii="仿宋_GB2312" w:hAnsi="仿宋_GB2312" w:eastAsia="仿宋_GB2312" w:cs="仿宋_GB2312"/>
          <w:color w:val="000000"/>
          <w:sz w:val="32"/>
          <w:szCs w:val="32"/>
          <w:lang w:val="en-US" w:eastAsia="zh-CN"/>
        </w:rPr>
        <w:t>高技能人才培训基地、职业技能提升中心、职业技能培训机构、技能等级评价机构</w:t>
      </w:r>
      <w:r>
        <w:rPr>
          <w:rFonts w:hint="eastAsia" w:ascii="仿宋_GB2312" w:hAnsi="仿宋_GB2312" w:eastAsia="仿宋_GB2312" w:cs="仿宋_GB2312"/>
          <w:color w:val="000000"/>
          <w:sz w:val="32"/>
          <w:szCs w:val="32"/>
          <w:lang w:val="zh-TW" w:eastAsia="zh-CN"/>
        </w:rPr>
        <w:t>、人才驿站、劳务工作站</w:t>
      </w:r>
      <w:r>
        <w:rPr>
          <w:rFonts w:hint="eastAsia" w:ascii="仿宋_GB2312" w:hAnsi="仿宋_GB2312" w:eastAsia="仿宋_GB2312" w:cs="仿宋_GB2312"/>
          <w:color w:val="000000"/>
          <w:sz w:val="32"/>
          <w:szCs w:val="32"/>
          <w:lang w:val="zh-TW" w:eastAsia="zh-TW"/>
        </w:rPr>
        <w:t>和技能大师工作室</w:t>
      </w:r>
      <w:r>
        <w:rPr>
          <w:rFonts w:hint="eastAsia" w:ascii="仿宋_GB2312" w:hAnsi="仿宋_GB2312" w:eastAsia="仿宋_GB2312" w:cs="仿宋_GB2312"/>
          <w:color w:val="000000"/>
          <w:sz w:val="32"/>
          <w:szCs w:val="32"/>
          <w:lang w:val="en-US" w:eastAsia="zh-CN"/>
        </w:rPr>
        <w:t>等人才项目的</w:t>
      </w:r>
      <w:r>
        <w:rPr>
          <w:rFonts w:hint="eastAsia" w:ascii="仿宋_GB2312" w:hAnsi="仿宋_GB2312" w:eastAsia="仿宋_GB2312" w:cs="仿宋_GB2312"/>
          <w:color w:val="000000"/>
          <w:sz w:val="32"/>
          <w:szCs w:val="32"/>
          <w:lang w:val="zh-TW" w:eastAsia="zh-CN"/>
        </w:rPr>
        <w:t>服务</w:t>
      </w:r>
      <w:r>
        <w:rPr>
          <w:rFonts w:hint="eastAsia" w:ascii="仿宋_GB2312" w:hAnsi="仿宋_GB2312" w:eastAsia="仿宋_GB2312" w:cs="仿宋_GB2312"/>
          <w:color w:val="000000"/>
          <w:sz w:val="32"/>
          <w:szCs w:val="32"/>
          <w:lang w:val="zh-TW" w:eastAsia="zh-TW"/>
        </w:rPr>
        <w:t>管理</w:t>
      </w:r>
      <w:r>
        <w:rPr>
          <w:rFonts w:hint="eastAsia" w:ascii="仿宋_GB2312" w:hAnsi="仿宋_GB2312" w:eastAsia="仿宋_GB2312" w:cs="仿宋_GB2312"/>
          <w:color w:val="000000"/>
          <w:sz w:val="32"/>
          <w:szCs w:val="32"/>
          <w:lang w:val="zh-TW" w:eastAsia="zh-CN"/>
        </w:rPr>
        <w:t>，</w:t>
      </w:r>
      <w:r>
        <w:rPr>
          <w:rFonts w:hint="eastAsia" w:ascii="仿宋_GB2312" w:hAnsi="仿宋_GB2312" w:eastAsia="仿宋_GB2312" w:cs="仿宋_GB2312"/>
          <w:color w:val="000000"/>
          <w:sz w:val="32"/>
          <w:szCs w:val="32"/>
          <w:lang w:val="en-US" w:eastAsia="zh-CN"/>
        </w:rPr>
        <w:t>现将《莆田市规范市级人才项目服务管理办法》印发给你们，</w:t>
      </w:r>
      <w:r>
        <w:rPr>
          <w:rFonts w:hint="eastAsia" w:ascii="仿宋_GB2312" w:hAnsi="仿宋_GB2312" w:eastAsia="仿宋_GB2312" w:cs="仿宋_GB2312"/>
          <w:color w:val="000000"/>
          <w:sz w:val="32"/>
          <w:szCs w:val="32"/>
          <w:lang w:val="zh-TW" w:eastAsia="zh-TW"/>
        </w:rPr>
        <w:t>请认真抓好落实。</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4020" w:firstLineChars="1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莆田市人力资源和社会保障局</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2022年8月9日</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sectPr>
          <w:headerReference r:id="rId3" w:type="default"/>
          <w:footerReference r:id="rId4" w:type="even"/>
          <w:pgSz w:w="11906" w:h="16838"/>
          <w:pgMar w:top="2098" w:right="1417" w:bottom="1984" w:left="1587" w:header="851" w:footer="992" w:gutter="0"/>
          <w:pgNumType w:fmt="decimal" w:start="1"/>
          <w:cols w:space="720" w:num="1"/>
          <w:rtlGutter w:val="0"/>
          <w:docGrid w:type="linesAndChars" w:linePitch="634" w:charSpace="3245"/>
        </w:sectPr>
      </w:pPr>
    </w:p>
    <w:p>
      <w:pPr>
        <w:keepNext w:val="0"/>
        <w:keepLines w:val="0"/>
        <w:pageBreakBefore w:val="0"/>
        <w:widowControl/>
        <w:kinsoku/>
        <w:wordWrap/>
        <w:overflowPunct/>
        <w:topLinePunct w:val="0"/>
        <w:autoSpaceDE/>
        <w:autoSpaceDN w:val="0"/>
        <w:bidi w:val="0"/>
        <w:adjustRightInd/>
        <w:snapToGrid/>
        <w:spacing w:line="52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color w:val="000000"/>
          <w:spacing w:val="-17"/>
          <w:sz w:val="44"/>
          <w:szCs w:val="44"/>
          <w:lang w:val="en-US" w:eastAsia="zh-CN"/>
        </w:rPr>
      </w:pPr>
      <w:r>
        <w:rPr>
          <w:rFonts w:hint="eastAsia" w:ascii="方正小标宋简体" w:hAnsi="方正小标宋简体" w:eastAsia="方正小标宋简体" w:cs="方正小标宋简体"/>
          <w:color w:val="000000"/>
          <w:spacing w:val="-17"/>
          <w:sz w:val="44"/>
          <w:szCs w:val="44"/>
          <w:lang w:val="en-US" w:eastAsia="zh-CN"/>
        </w:rPr>
        <w:t>莆田市规范市级人才项目服务管理办法</w:t>
      </w:r>
    </w:p>
    <w:p>
      <w:pPr>
        <w:keepNext w:val="0"/>
        <w:keepLines w:val="0"/>
        <w:pageBreakBefore w:val="0"/>
        <w:kinsoku/>
        <w:wordWrap/>
        <w:overflowPunct/>
        <w:topLinePunct w:val="0"/>
        <w:autoSpaceDE/>
        <w:autoSpaceDN/>
        <w:bidi w:val="0"/>
        <w:adjustRightInd/>
        <w:snapToGrid/>
        <w:spacing w:line="56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61" w:beforeLines="25" w:after="161" w:afterLines="25" w:line="560" w:lineRule="exact"/>
        <w:ind w:left="0" w:firstLine="0" w:firstLineChars="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第一章  总体原则</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第一条</w:t>
      </w:r>
      <w:r>
        <w:rPr>
          <w:rFonts w:hint="eastAsia"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lang w:val="en-US" w:eastAsia="zh-CN"/>
        </w:rPr>
        <w:t>为深入贯彻落实“人才强</w:t>
      </w:r>
      <w:r>
        <w:rPr>
          <w:rFonts w:hint="eastAsia" w:ascii="仿宋_GB2312" w:hAnsi="仿宋_GB2312" w:eastAsia="仿宋_GB2312" w:cs="仿宋_GB2312"/>
          <w:color w:val="000000"/>
          <w:sz w:val="32"/>
          <w:szCs w:val="32"/>
          <w:lang w:val="en-US" w:eastAsia="zh-CN"/>
        </w:rPr>
        <w:t>市</w:t>
      </w:r>
      <w:r>
        <w:rPr>
          <w:rFonts w:hint="default" w:ascii="仿宋_GB2312" w:hAnsi="仿宋_GB2312" w:eastAsia="仿宋_GB2312" w:cs="仿宋_GB2312"/>
          <w:color w:val="000000"/>
          <w:sz w:val="32"/>
          <w:szCs w:val="32"/>
          <w:lang w:val="en-US" w:eastAsia="zh-CN"/>
        </w:rPr>
        <w:t>”战略，切实提高</w:t>
      </w:r>
      <w:r>
        <w:rPr>
          <w:rFonts w:hint="eastAsia" w:ascii="仿宋_GB2312" w:hAnsi="仿宋_GB2312" w:eastAsia="仿宋_GB2312" w:cs="仿宋_GB2312"/>
          <w:color w:val="000000"/>
          <w:sz w:val="32"/>
          <w:szCs w:val="32"/>
          <w:lang w:val="en-US" w:eastAsia="zh-CN"/>
        </w:rPr>
        <w:t>人才项目</w:t>
      </w:r>
      <w:r>
        <w:rPr>
          <w:rFonts w:hint="default" w:ascii="仿宋_GB2312" w:hAnsi="仿宋_GB2312" w:eastAsia="仿宋_GB2312" w:cs="仿宋_GB2312"/>
          <w:color w:val="000000"/>
          <w:sz w:val="32"/>
          <w:szCs w:val="32"/>
          <w:lang w:val="en-US" w:eastAsia="zh-CN"/>
        </w:rPr>
        <w:t>管理水平，全面提升</w:t>
      </w:r>
      <w:r>
        <w:rPr>
          <w:rFonts w:hint="eastAsia" w:ascii="仿宋_GB2312" w:hAnsi="仿宋_GB2312" w:eastAsia="仿宋_GB2312" w:cs="仿宋_GB2312"/>
          <w:color w:val="000000"/>
          <w:sz w:val="32"/>
          <w:szCs w:val="32"/>
          <w:lang w:val="en-US" w:eastAsia="zh-CN"/>
        </w:rPr>
        <w:t>人才项目</w:t>
      </w:r>
      <w:r>
        <w:rPr>
          <w:rFonts w:hint="default"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lang w:val="en-US" w:eastAsia="zh-CN"/>
        </w:rPr>
        <w:t>质效</w:t>
      </w:r>
      <w:r>
        <w:rPr>
          <w:rFonts w:hint="default" w:ascii="仿宋_GB2312" w:hAnsi="仿宋_GB2312" w:eastAsia="仿宋_GB2312" w:cs="仿宋_GB2312"/>
          <w:color w:val="000000"/>
          <w:sz w:val="32"/>
          <w:szCs w:val="32"/>
          <w:lang w:val="en-US" w:eastAsia="zh-CN"/>
        </w:rPr>
        <w:t>，助推</w:t>
      </w:r>
      <w:r>
        <w:rPr>
          <w:rFonts w:hint="eastAsia" w:ascii="仿宋_GB2312" w:hAnsi="仿宋_GB2312" w:eastAsia="仿宋_GB2312" w:cs="仿宋_GB2312"/>
          <w:color w:val="000000"/>
          <w:sz w:val="32"/>
          <w:szCs w:val="32"/>
          <w:lang w:val="en-US" w:eastAsia="zh-CN"/>
        </w:rPr>
        <w:t>我市营造“事业求贤若渴、人才八仙过海”的人才发展格局</w:t>
      </w:r>
      <w:r>
        <w:rPr>
          <w:rFonts w:hint="default" w:ascii="仿宋_GB2312" w:hAnsi="仿宋_GB2312" w:eastAsia="仿宋_GB2312" w:cs="仿宋_GB2312"/>
          <w:color w:val="000000"/>
          <w:sz w:val="32"/>
          <w:szCs w:val="32"/>
          <w:lang w:val="en-US" w:eastAsia="zh-CN"/>
        </w:rPr>
        <w:t>，结合工作实际，制定本办法。</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第二条</w:t>
      </w:r>
      <w:r>
        <w:rPr>
          <w:rFonts w:hint="eastAsia"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000000"/>
          <w:sz w:val="32"/>
          <w:szCs w:val="32"/>
          <w:lang w:val="en-US" w:eastAsia="zh-CN"/>
        </w:rPr>
        <w:t>本管理办法所指“</w:t>
      </w:r>
      <w:r>
        <w:rPr>
          <w:rFonts w:hint="eastAsia" w:ascii="仿宋_GB2312" w:hAnsi="仿宋_GB2312" w:eastAsia="仿宋_GB2312" w:cs="仿宋_GB2312"/>
          <w:color w:val="000000"/>
          <w:sz w:val="32"/>
          <w:szCs w:val="32"/>
          <w:lang w:val="en-US" w:eastAsia="zh-CN"/>
        </w:rPr>
        <w:t>人才项目</w:t>
      </w:r>
      <w:r>
        <w:rPr>
          <w:rFonts w:hint="default" w:ascii="仿宋_GB2312" w:hAnsi="仿宋_GB2312" w:eastAsia="仿宋_GB2312" w:cs="仿宋_GB2312"/>
          <w:color w:val="000000"/>
          <w:sz w:val="32"/>
          <w:szCs w:val="32"/>
          <w:lang w:val="en-US" w:eastAsia="zh-CN"/>
        </w:rPr>
        <w:t>”是莆田市</w:t>
      </w:r>
      <w:r>
        <w:rPr>
          <w:rFonts w:hint="eastAsia" w:ascii="仿宋_GB2312" w:hAnsi="仿宋_GB2312" w:eastAsia="仿宋_GB2312" w:cs="仿宋_GB2312"/>
          <w:color w:val="000000"/>
          <w:sz w:val="32"/>
          <w:szCs w:val="32"/>
          <w:lang w:val="en-US" w:eastAsia="zh-CN"/>
        </w:rPr>
        <w:t>人社局</w:t>
      </w:r>
      <w:r>
        <w:rPr>
          <w:rFonts w:hint="default" w:ascii="仿宋_GB2312" w:hAnsi="仿宋_GB2312" w:eastAsia="仿宋_GB2312" w:cs="仿宋_GB2312"/>
          <w:color w:val="000000"/>
          <w:sz w:val="32"/>
          <w:szCs w:val="32"/>
          <w:lang w:val="en-US" w:eastAsia="zh-CN"/>
        </w:rPr>
        <w:t>归口管理，由</w:t>
      </w:r>
      <w:r>
        <w:rPr>
          <w:rFonts w:hint="eastAsia" w:ascii="仿宋_GB2312" w:hAnsi="仿宋_GB2312" w:eastAsia="仿宋_GB2312" w:cs="仿宋_GB2312"/>
          <w:color w:val="000000"/>
          <w:sz w:val="32"/>
          <w:szCs w:val="32"/>
          <w:lang w:val="en-US" w:eastAsia="zh-CN"/>
        </w:rPr>
        <w:t>莆田市</w:t>
      </w:r>
      <w:r>
        <w:rPr>
          <w:rFonts w:hint="default" w:ascii="仿宋_GB2312" w:hAnsi="仿宋_GB2312" w:eastAsia="仿宋_GB2312" w:cs="仿宋_GB2312"/>
          <w:color w:val="000000"/>
          <w:sz w:val="32"/>
          <w:szCs w:val="32"/>
          <w:lang w:val="en-US" w:eastAsia="zh-CN"/>
        </w:rPr>
        <w:t>人才或</w:t>
      </w:r>
      <w:r>
        <w:rPr>
          <w:rFonts w:hint="eastAsia" w:ascii="仿宋_GB2312" w:hAnsi="仿宋_GB2312" w:eastAsia="仿宋_GB2312" w:cs="仿宋_GB2312"/>
          <w:color w:val="000000"/>
          <w:sz w:val="32"/>
          <w:szCs w:val="32"/>
          <w:lang w:val="en-US" w:eastAsia="zh-CN"/>
        </w:rPr>
        <w:t>就业</w:t>
      </w:r>
      <w:r>
        <w:rPr>
          <w:rFonts w:hint="default" w:ascii="仿宋_GB2312" w:hAnsi="仿宋_GB2312" w:eastAsia="仿宋_GB2312" w:cs="仿宋_GB2312"/>
          <w:color w:val="000000"/>
          <w:sz w:val="32"/>
          <w:szCs w:val="32"/>
          <w:lang w:val="en-US" w:eastAsia="zh-CN"/>
        </w:rPr>
        <w:t>专项资金支持，市</w:t>
      </w:r>
      <w:r>
        <w:rPr>
          <w:rFonts w:hint="eastAsia" w:ascii="仿宋_GB2312" w:hAnsi="仿宋_GB2312" w:eastAsia="仿宋_GB2312" w:cs="仿宋_GB2312"/>
          <w:color w:val="000000"/>
          <w:sz w:val="32"/>
          <w:szCs w:val="32"/>
          <w:lang w:val="en-US" w:eastAsia="zh-CN"/>
        </w:rPr>
        <w:t>人社局</w:t>
      </w:r>
      <w:r>
        <w:rPr>
          <w:rFonts w:hint="default" w:ascii="仿宋_GB2312" w:hAnsi="仿宋_GB2312" w:eastAsia="仿宋_GB2312" w:cs="仿宋_GB2312"/>
          <w:color w:val="000000"/>
          <w:sz w:val="32"/>
          <w:szCs w:val="32"/>
          <w:lang w:val="en-US" w:eastAsia="zh-CN"/>
        </w:rPr>
        <w:t>具体组织</w:t>
      </w:r>
      <w:r>
        <w:rPr>
          <w:rFonts w:hint="eastAsia" w:ascii="仿宋_GB2312" w:hAnsi="仿宋_GB2312" w:eastAsia="仿宋_GB2312" w:cs="仿宋_GB2312"/>
          <w:color w:val="000000"/>
          <w:sz w:val="32"/>
          <w:szCs w:val="32"/>
          <w:lang w:val="en-US" w:eastAsia="zh-CN"/>
        </w:rPr>
        <w:t>评选</w:t>
      </w:r>
      <w:r>
        <w:rPr>
          <w:rFonts w:hint="default" w:ascii="仿宋_GB2312" w:hAnsi="仿宋_GB2312" w:eastAsia="仿宋_GB2312" w:cs="仿宋_GB2312"/>
          <w:color w:val="000000"/>
          <w:sz w:val="32"/>
          <w:szCs w:val="32"/>
          <w:lang w:val="en-US" w:eastAsia="zh-CN"/>
        </w:rPr>
        <w:t>的大中专毕业生就业见习基地、高校毕业生创业孵化基地、</w:t>
      </w:r>
      <w:r>
        <w:rPr>
          <w:rFonts w:hint="eastAsia" w:ascii="仿宋_GB2312" w:hAnsi="仿宋_GB2312" w:eastAsia="仿宋_GB2312" w:cs="仿宋_GB2312"/>
          <w:color w:val="000000"/>
          <w:sz w:val="32"/>
          <w:szCs w:val="32"/>
          <w:lang w:val="en-US" w:eastAsia="zh-CN"/>
        </w:rPr>
        <w:t>高技能人才培训基地、职业技能提升中心、职业技能培训机构、技能等级评价机构、人才驿站、劳务工作站</w:t>
      </w:r>
      <w:r>
        <w:rPr>
          <w:rFonts w:hint="default" w:ascii="仿宋_GB2312" w:hAnsi="仿宋_GB2312" w:eastAsia="仿宋_GB2312" w:cs="仿宋_GB2312"/>
          <w:color w:val="000000"/>
          <w:sz w:val="32"/>
          <w:szCs w:val="32"/>
          <w:lang w:val="en-US" w:eastAsia="zh-CN"/>
        </w:rPr>
        <w:t>和技能大师工作室</w:t>
      </w:r>
      <w:r>
        <w:rPr>
          <w:rFonts w:hint="eastAsia" w:ascii="仿宋_GB2312" w:hAnsi="仿宋_GB2312" w:eastAsia="仿宋_GB2312" w:cs="仿宋_GB2312"/>
          <w:color w:val="000000"/>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第三条</w:t>
      </w:r>
      <w:r>
        <w:rPr>
          <w:rFonts w:hint="eastAsia" w:ascii="仿宋_GB2312" w:hAnsi="仿宋_GB2312" w:eastAsia="仿宋_GB2312" w:cs="仿宋_GB2312"/>
          <w:color w:val="000000"/>
          <w:sz w:val="32"/>
          <w:szCs w:val="32"/>
          <w:lang w:val="en-US" w:eastAsia="zh-CN"/>
        </w:rPr>
        <w:t xml:space="preserve">  人才项目管理遵循以下原则：</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1.坚持围绕中心、服务产业原则；</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2.坚持经济效益、社会效益相统一原则；</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3.坚持计划先行、宏观指导原则；</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4.坚持分级管理、分工负责原则；</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5.坚持突出重点、长远规划原则；</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6.坚持目标引领、绩效管理原则。</w:t>
      </w:r>
    </w:p>
    <w:p>
      <w:pPr>
        <w:keepNext w:val="0"/>
        <w:keepLines w:val="0"/>
        <w:pageBreakBefore w:val="0"/>
        <w:widowControl w:val="0"/>
        <w:kinsoku/>
        <w:wordWrap/>
        <w:overflowPunct/>
        <w:topLinePunct w:val="0"/>
        <w:autoSpaceDE/>
        <w:autoSpaceDN/>
        <w:bidi w:val="0"/>
        <w:adjustRightInd/>
        <w:snapToGrid/>
        <w:spacing w:before="161" w:beforeLines="25" w:after="161" w:afterLines="25" w:line="600" w:lineRule="exact"/>
        <w:ind w:left="0" w:firstLine="0" w:firstLineChars="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第二章  申报程序</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第四条</w:t>
      </w:r>
      <w:r>
        <w:rPr>
          <w:rFonts w:hint="eastAsia" w:ascii="仿宋_GB2312" w:hAnsi="仿宋_GB2312" w:eastAsia="仿宋_GB2312" w:cs="仿宋_GB2312"/>
          <w:color w:val="000000"/>
          <w:sz w:val="32"/>
          <w:szCs w:val="32"/>
          <w:lang w:val="en-US" w:eastAsia="zh-CN"/>
        </w:rPr>
        <w:t xml:space="preserve">  各县（区、管委会）人社局负责本辖区人才项目的组织申报、推荐上报、日常监管和组织实施等工作。市人社局负责评选认定、考核管理工作。</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第五条</w:t>
      </w:r>
      <w:r>
        <w:rPr>
          <w:rFonts w:hint="eastAsia" w:ascii="仿宋_GB2312" w:hAnsi="仿宋_GB2312" w:eastAsia="仿宋_GB2312" w:cs="仿宋_GB2312"/>
          <w:color w:val="000000"/>
          <w:sz w:val="32"/>
          <w:szCs w:val="32"/>
          <w:lang w:val="en-US" w:eastAsia="zh-CN"/>
        </w:rPr>
        <w:t xml:space="preserve">  人才项目每年视情况组织申报1-2次(具体项目有规定评选年限的，从其规定)，并集中受理，统一办理。</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第六条</w:t>
      </w:r>
      <w:r>
        <w:rPr>
          <w:rFonts w:hint="eastAsia" w:ascii="仿宋_GB2312" w:hAnsi="仿宋_GB2312" w:eastAsia="仿宋_GB2312" w:cs="仿宋_GB2312"/>
          <w:color w:val="000000"/>
          <w:sz w:val="32"/>
          <w:szCs w:val="32"/>
          <w:lang w:val="en-US" w:eastAsia="zh-CN"/>
        </w:rPr>
        <w:t xml:space="preserve">  具有申报资格的单位（部门、机构）自愿提出申请，根据要求提交申报材料，按照属地原则逐级推荐申报。</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第七条</w:t>
      </w:r>
      <w:r>
        <w:rPr>
          <w:rFonts w:hint="eastAsia" w:ascii="仿宋_GB2312" w:hAnsi="仿宋_GB2312" w:eastAsia="仿宋_GB2312" w:cs="仿宋_GB2312"/>
          <w:color w:val="000000"/>
          <w:sz w:val="32"/>
          <w:szCs w:val="32"/>
          <w:lang w:val="en-US" w:eastAsia="zh-CN"/>
        </w:rPr>
        <w:t xml:space="preserve">  各县（区、管委会）人社局对申报人才项目的材料真实性、完整性、合规性进行审核把关，择优推荐报送至市人社局。必要时，可通过</w:t>
      </w:r>
      <w:r>
        <w:rPr>
          <w:rFonts w:hint="eastAsia" w:ascii="仿宋_GB2312" w:hAnsi="仿宋_GB2312" w:cs="仿宋_GB2312"/>
          <w:color w:val="000000"/>
          <w:sz w:val="32"/>
          <w:szCs w:val="32"/>
          <w:lang w:val="en-US" w:eastAsia="zh-CN"/>
        </w:rPr>
        <w:t>线上</w:t>
      </w:r>
      <w:r>
        <w:rPr>
          <w:rFonts w:hint="eastAsia" w:ascii="仿宋_GB2312" w:hAnsi="仿宋_GB2312" w:eastAsia="仿宋_GB2312" w:cs="仿宋_GB2312"/>
          <w:color w:val="000000"/>
          <w:sz w:val="32"/>
          <w:szCs w:val="32"/>
          <w:lang w:val="en-US" w:eastAsia="zh-CN"/>
        </w:rPr>
        <w:t>直接申报。</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第八条</w:t>
      </w:r>
      <w:r>
        <w:rPr>
          <w:rFonts w:hint="eastAsia" w:ascii="仿宋_GB2312" w:hAnsi="仿宋_GB2312" w:eastAsia="仿宋_GB2312" w:cs="仿宋_GB2312"/>
          <w:color w:val="000000"/>
          <w:sz w:val="32"/>
          <w:szCs w:val="32"/>
          <w:lang w:val="en-US" w:eastAsia="zh-CN"/>
        </w:rPr>
        <w:t xml:space="preserve">  市人社局抽调县区业务人员或专家等组成项目评审小组，对申报项目进行审查和评议，必要时组织实地考察，提出评审意见。</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第九条</w:t>
      </w:r>
      <w:r>
        <w:rPr>
          <w:rFonts w:hint="eastAsia" w:ascii="仿宋_GB2312" w:hAnsi="仿宋_GB2312" w:eastAsia="仿宋_GB2312" w:cs="仿宋_GB2312"/>
          <w:color w:val="000000"/>
          <w:sz w:val="32"/>
          <w:szCs w:val="32"/>
          <w:lang w:val="en-US" w:eastAsia="zh-CN"/>
        </w:rPr>
        <w:t xml:space="preserve">  市人社局研究确认后给予公布，由市、县（区、管委会）人社部门授牌，并明确管理服务年限。</w:t>
      </w:r>
    </w:p>
    <w:p>
      <w:pPr>
        <w:keepNext w:val="0"/>
        <w:keepLines w:val="0"/>
        <w:pageBreakBefore w:val="0"/>
        <w:widowControl w:val="0"/>
        <w:kinsoku/>
        <w:wordWrap/>
        <w:overflowPunct/>
        <w:topLinePunct w:val="0"/>
        <w:autoSpaceDE/>
        <w:autoSpaceDN/>
        <w:bidi w:val="0"/>
        <w:adjustRightInd/>
        <w:snapToGrid/>
        <w:spacing w:before="161" w:beforeLines="25" w:after="161" w:afterLines="25" w:line="600" w:lineRule="exact"/>
        <w:ind w:left="0" w:firstLine="0" w:firstLineChars="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第三章  管理机制</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第十条</w:t>
      </w:r>
      <w:r>
        <w:rPr>
          <w:rFonts w:hint="eastAsia" w:ascii="仿宋_GB2312" w:hAnsi="仿宋_GB2312" w:eastAsia="仿宋_GB2312" w:cs="仿宋_GB2312"/>
          <w:color w:val="000000"/>
          <w:sz w:val="32"/>
          <w:szCs w:val="32"/>
          <w:lang w:val="en-US" w:eastAsia="zh-CN"/>
        </w:rPr>
        <w:t xml:space="preserve">  人才项目实行年检制度，每年第一季度向所在县（区、管委会）提交年检材料。年检应提交《莆田市人才项目年检申请表》（附件1）、年度活动开展台账（包括活动通知、活动安排表、参加活动人员签到表以及活动总结、活动成果评估等相关材料）。</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第十一条</w:t>
      </w:r>
      <w:r>
        <w:rPr>
          <w:rFonts w:hint="eastAsia" w:ascii="仿宋_GB2312" w:hAnsi="仿宋_GB2312" w:eastAsia="仿宋_GB2312" w:cs="仿宋_GB2312"/>
          <w:color w:val="000000"/>
          <w:sz w:val="32"/>
          <w:szCs w:val="32"/>
          <w:lang w:val="en-US" w:eastAsia="zh-CN"/>
        </w:rPr>
        <w:t xml:space="preserve">  各县（区、管委会）人社局在每年第一季度末将所辖市级人才项目的年度总结报告以及综合评价报告、评价结果汇总表（附件2）等盖章后一并报送市人社局。</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第十二条</w:t>
      </w:r>
      <w:r>
        <w:rPr>
          <w:rFonts w:hint="eastAsia" w:ascii="仿宋_GB2312" w:hAnsi="仿宋_GB2312" w:eastAsia="仿宋_GB2312" w:cs="仿宋_GB2312"/>
          <w:color w:val="000000"/>
          <w:sz w:val="32"/>
          <w:szCs w:val="32"/>
          <w:lang w:val="en-US" w:eastAsia="zh-CN"/>
        </w:rPr>
        <w:t xml:space="preserve">  市人社局采取检查考核、实地调研、会议调度等方式，定期、不定期开展人才项目检查督导。</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第十三条</w:t>
      </w:r>
      <w:r>
        <w:rPr>
          <w:rFonts w:hint="eastAsia" w:ascii="仿宋_GB2312" w:hAnsi="仿宋_GB2312" w:eastAsia="仿宋_GB2312" w:cs="仿宋_GB2312"/>
          <w:color w:val="000000"/>
          <w:sz w:val="32"/>
          <w:szCs w:val="32"/>
          <w:lang w:val="en-US" w:eastAsia="zh-CN"/>
        </w:rPr>
        <w:t xml:space="preserve">  人才项目年检结论建档立卡，记录在案，作为项目实施单位后续申报人才项目任一项目的重要依据之一。</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第十四条</w:t>
      </w:r>
      <w:r>
        <w:rPr>
          <w:rFonts w:hint="eastAsia" w:ascii="仿宋_GB2312" w:hAnsi="仿宋_GB2312" w:eastAsia="仿宋_GB2312" w:cs="仿宋_GB2312"/>
          <w:color w:val="000000"/>
          <w:sz w:val="32"/>
          <w:szCs w:val="32"/>
          <w:lang w:val="en-US" w:eastAsia="zh-CN"/>
        </w:rPr>
        <w:t xml:space="preserve">  人才项目经市人社局批准后，由市、县（区、管委会）人社部门按规定给予经费支持，经费使用应严格按照我市人才或就业专项资金管理办法执行。</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第十五条</w:t>
      </w:r>
      <w:r>
        <w:rPr>
          <w:rFonts w:hint="eastAsia" w:ascii="仿宋_GB2312" w:hAnsi="仿宋_GB2312" w:eastAsia="仿宋_GB2312" w:cs="仿宋_GB2312"/>
          <w:color w:val="000000"/>
          <w:sz w:val="32"/>
          <w:szCs w:val="32"/>
          <w:lang w:val="en-US" w:eastAsia="zh-CN"/>
        </w:rPr>
        <w:t xml:space="preserve">  人才项目开展的社会化培训等项目，年初要报计划，项目结束验收合格后再拨付经费。</w:t>
      </w:r>
    </w:p>
    <w:p>
      <w:pPr>
        <w:keepNext w:val="0"/>
        <w:keepLines w:val="0"/>
        <w:pageBreakBefore w:val="0"/>
        <w:widowControl w:val="0"/>
        <w:kinsoku/>
        <w:wordWrap/>
        <w:overflowPunct/>
        <w:topLinePunct w:val="0"/>
        <w:autoSpaceDE/>
        <w:autoSpaceDN/>
        <w:bidi w:val="0"/>
        <w:adjustRightInd/>
        <w:snapToGrid/>
        <w:spacing w:before="161" w:beforeLines="25" w:after="161" w:afterLines="25" w:line="600" w:lineRule="exact"/>
        <w:ind w:left="0" w:firstLine="0" w:firstLineChars="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第四章  退出机制</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第十六条</w:t>
      </w:r>
      <w:r>
        <w:rPr>
          <w:rFonts w:hint="eastAsia" w:ascii="仿宋_GB2312" w:hAnsi="仿宋_GB2312" w:eastAsia="仿宋_GB2312" w:cs="仿宋_GB2312"/>
          <w:color w:val="000000"/>
          <w:sz w:val="32"/>
          <w:szCs w:val="32"/>
          <w:lang w:val="en-US" w:eastAsia="zh-CN"/>
        </w:rPr>
        <w:t xml:space="preserve">  项目退出方式包含以下3种方式: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kern w:val="2"/>
          <w:sz w:val="32"/>
          <w:szCs w:val="32"/>
          <w:lang w:val="en-US" w:eastAsia="zh-CN" w:bidi="ar-SA"/>
        </w:rPr>
        <w:t>（一）主动退出</w:t>
      </w:r>
      <w:r>
        <w:rPr>
          <w:rFonts w:hint="eastAsia" w:ascii="仿宋_GB2312" w:hAnsi="仿宋_GB2312" w:eastAsia="仿宋_GB2312" w:cs="仿宋_GB2312"/>
          <w:color w:val="000000"/>
          <w:kern w:val="2"/>
          <w:sz w:val="32"/>
          <w:szCs w:val="32"/>
          <w:lang w:val="en-US" w:eastAsia="zh-CN" w:bidi="ar-SA"/>
        </w:rPr>
        <w:t>。人才项目有下列情形之一的，视为主动退出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2"/>
          <w:sz w:val="32"/>
          <w:szCs w:val="32"/>
          <w:lang w:val="en-US" w:eastAsia="zh-CN" w:bidi="ar-SA"/>
        </w:rPr>
        <w:t>1.人才项目单位主动提出放弃资格</w:t>
      </w:r>
      <w:r>
        <w:rPr>
          <w:rFonts w:hint="eastAsia" w:ascii="仿宋_GB2312" w:hAnsi="仿宋_GB2312" w:eastAsia="仿宋_GB2312" w:cs="仿宋_GB2312"/>
          <w:color w:val="000000"/>
          <w:sz w:val="32"/>
          <w:szCs w:val="32"/>
        </w:rPr>
        <w:t>的</w:t>
      </w:r>
      <w:r>
        <w:rPr>
          <w:rFonts w:hint="eastAsia" w:ascii="仿宋_GB2312" w:hAnsi="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2.人才项目单位依法破产、倒闭、机构设置调整等情形终止法人资格，丧失生产经营资质及能力或不再继续履行职能的</w:t>
      </w:r>
      <w:r>
        <w:rPr>
          <w:rFonts w:hint="eastAsia" w:ascii="仿宋_GB2312" w:hAnsi="仿宋_GB2312" w:cs="仿宋_GB2312"/>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3.人才项目单位负责人因退休、离职、转岗、死亡等原因离开本单位、本岗位，不适合存续的。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7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二</w:t>
      </w: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考核退出</w:t>
      </w:r>
      <w:r>
        <w:rPr>
          <w:rFonts w:hint="eastAsia" w:ascii="仿宋_GB2312" w:hAnsi="仿宋_GB2312" w:eastAsia="仿宋_GB2312" w:cs="仿宋_GB2312"/>
          <w:color w:val="000000"/>
          <w:sz w:val="32"/>
          <w:szCs w:val="32"/>
          <w:lang w:val="en-US" w:eastAsia="zh-CN"/>
        </w:rPr>
        <w:t>。市、县（区、管委会）人社</w:t>
      </w:r>
      <w:r>
        <w:rPr>
          <w:rFonts w:hint="eastAsia" w:ascii="仿宋_GB2312" w:hAnsi="仿宋_GB2312" w:cs="仿宋_GB2312"/>
          <w:color w:val="000000"/>
          <w:sz w:val="32"/>
          <w:szCs w:val="32"/>
          <w:lang w:val="en-US" w:eastAsia="zh-CN"/>
        </w:rPr>
        <w:t>部门</w:t>
      </w:r>
      <w:r>
        <w:rPr>
          <w:rFonts w:hint="eastAsia" w:ascii="仿宋_GB2312" w:hAnsi="仿宋_GB2312" w:eastAsia="仿宋_GB2312" w:cs="仿宋_GB2312"/>
          <w:color w:val="000000"/>
          <w:sz w:val="32"/>
          <w:szCs w:val="32"/>
          <w:lang w:val="en-US" w:eastAsia="zh-CN"/>
        </w:rPr>
        <w:t>对所辖人才项目分别给出优秀、良好、合格、不合格</w:t>
      </w:r>
      <w:r>
        <w:rPr>
          <w:rFonts w:hint="eastAsia" w:ascii="仿宋_GB2312" w:hAnsi="仿宋_GB2312" w:cs="仿宋_GB2312"/>
          <w:color w:val="000000"/>
          <w:sz w:val="32"/>
          <w:szCs w:val="32"/>
          <w:lang w:val="en-US" w:eastAsia="zh-CN"/>
        </w:rPr>
        <w:t>的</w:t>
      </w:r>
      <w:r>
        <w:rPr>
          <w:rFonts w:hint="eastAsia" w:ascii="仿宋_GB2312" w:hAnsi="仿宋_GB2312" w:eastAsia="仿宋_GB2312" w:cs="仿宋_GB2312"/>
          <w:color w:val="000000"/>
          <w:sz w:val="32"/>
          <w:szCs w:val="32"/>
          <w:lang w:val="en-US" w:eastAsia="zh-CN"/>
        </w:rPr>
        <w:t>4个不同等级结论，对评估不合格的给予退出处理。</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eastAsia="zh-CN"/>
        </w:rPr>
        <w:t>（</w:t>
      </w:r>
      <w:r>
        <w:rPr>
          <w:rFonts w:hint="eastAsia" w:ascii="楷体_GB2312" w:hAnsi="楷体_GB2312" w:eastAsia="楷体_GB2312" w:cs="楷体_GB2312"/>
          <w:b/>
          <w:bCs/>
          <w:color w:val="000000"/>
          <w:sz w:val="32"/>
          <w:szCs w:val="32"/>
          <w:lang w:val="en-US" w:eastAsia="zh-CN"/>
        </w:rPr>
        <w:t>三）</w:t>
      </w:r>
      <w:r>
        <w:rPr>
          <w:rFonts w:hint="eastAsia" w:ascii="楷体_GB2312" w:hAnsi="楷体_GB2312" w:eastAsia="楷体_GB2312" w:cs="楷体_GB2312"/>
          <w:b/>
          <w:bCs/>
          <w:color w:val="000000"/>
          <w:sz w:val="32"/>
          <w:szCs w:val="32"/>
        </w:rPr>
        <w:t>取消资格。</w:t>
      </w:r>
      <w:r>
        <w:rPr>
          <w:rFonts w:hint="eastAsia" w:ascii="仿宋_GB2312" w:hAnsi="仿宋_GB2312" w:eastAsia="仿宋_GB2312" w:cs="仿宋_GB2312"/>
          <w:color w:val="000000"/>
          <w:sz w:val="32"/>
          <w:szCs w:val="32"/>
          <w:lang w:val="en-US" w:eastAsia="zh-CN"/>
        </w:rPr>
        <w:t>人才项目</w:t>
      </w:r>
      <w:r>
        <w:rPr>
          <w:rFonts w:hint="eastAsia" w:ascii="仿宋_GB2312" w:hAnsi="仿宋_GB2312" w:eastAsia="仿宋_GB2312" w:cs="仿宋_GB2312"/>
          <w:color w:val="000000"/>
          <w:sz w:val="32"/>
          <w:szCs w:val="32"/>
        </w:rPr>
        <w:t>有下列情形之一的，</w:t>
      </w:r>
      <w:r>
        <w:rPr>
          <w:rFonts w:hint="eastAsia" w:ascii="仿宋_GB2312" w:hAnsi="仿宋_GB2312" w:eastAsia="仿宋_GB2312" w:cs="仿宋_GB2312"/>
          <w:color w:val="000000"/>
          <w:sz w:val="32"/>
          <w:szCs w:val="32"/>
          <w:lang w:val="en-US" w:eastAsia="zh-CN"/>
        </w:rPr>
        <w:t>取消资格</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1.人才项目单位违反社会主义市场经济有关法律法规被依法吊销营业执照、撤销法人资格，或因政府宏观政策被依法无限期关停的</w:t>
      </w:r>
      <w:r>
        <w:rPr>
          <w:rFonts w:hint="eastAsia" w:ascii="仿宋_GB2312" w:hAnsi="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2.未按相关财经制度规定使用管理财政补助资金，造成严重后果或恶劣社会影响的</w:t>
      </w:r>
      <w:r>
        <w:rPr>
          <w:rFonts w:hint="eastAsia" w:ascii="仿宋_GB2312" w:hAnsi="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3.向服务对象变相收取各种费用或押金、出现有责投诉等现象</w:t>
      </w:r>
      <w:r>
        <w:rPr>
          <w:rFonts w:hint="eastAsia" w:ascii="仿宋_GB2312" w:hAnsi="仿宋_GB2312" w:cs="仿宋_GB2312"/>
          <w:color w:val="000000"/>
          <w:sz w:val="32"/>
          <w:szCs w:val="32"/>
          <w:lang w:val="en-US" w:eastAsia="zh-CN"/>
        </w:rPr>
        <w:t>的</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4.发生重大安全责任事故的；</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cs="仿宋_GB2312"/>
          <w:color w:val="000000"/>
          <w:sz w:val="32"/>
          <w:szCs w:val="32"/>
          <w:lang w:val="en-US" w:eastAsia="zh-CN"/>
        </w:rPr>
        <w:t>全年</w:t>
      </w:r>
      <w:r>
        <w:rPr>
          <w:rFonts w:hint="eastAsia" w:ascii="仿宋_GB2312" w:hAnsi="仿宋_GB2312" w:eastAsia="仿宋_GB2312" w:cs="仿宋_GB2312"/>
          <w:color w:val="000000"/>
          <w:sz w:val="32"/>
          <w:szCs w:val="32"/>
          <w:lang w:val="en-US" w:eastAsia="zh-CN"/>
        </w:rPr>
        <w:t>未按规定开展服务工作的</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6.提供的年检文件、资料和数据不真实</w:t>
      </w:r>
      <w:r>
        <w:rPr>
          <w:rFonts w:hint="eastAsia" w:ascii="仿宋_GB2312" w:hAnsi="仿宋_GB2312" w:cs="仿宋_GB2312"/>
          <w:color w:val="000000"/>
          <w:sz w:val="32"/>
          <w:szCs w:val="32"/>
          <w:lang w:val="en-US" w:eastAsia="zh-CN"/>
        </w:rPr>
        <w:t>的</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7.因弄虚作假、虚报冒领资金的，取消其资格，追回其违规领取的补贴，同时按规定提交有关部门严肃处理，五年内不再受理其对人才项目申请。</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kern w:val="2"/>
          <w:sz w:val="32"/>
          <w:szCs w:val="32"/>
          <w:lang w:val="en-US" w:eastAsia="zh-CN" w:bidi="ar-SA"/>
        </w:rPr>
        <w:t>第十七条</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sz w:val="32"/>
          <w:szCs w:val="32"/>
          <w:lang w:val="en-US" w:eastAsia="zh-CN"/>
        </w:rPr>
        <w:t xml:space="preserve"> 项目退出程序如下：</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人才项目主动</w:t>
      </w:r>
      <w:r>
        <w:rPr>
          <w:rFonts w:hint="eastAsia" w:ascii="仿宋_GB2312" w:hAnsi="仿宋_GB2312" w:eastAsia="仿宋_GB2312" w:cs="仿宋_GB2312"/>
          <w:color w:val="000000"/>
          <w:sz w:val="32"/>
          <w:szCs w:val="32"/>
        </w:rPr>
        <w:t>提出放弃资格的，</w:t>
      </w:r>
      <w:r>
        <w:rPr>
          <w:rFonts w:hint="eastAsia" w:ascii="仿宋_GB2312" w:hAnsi="仿宋_GB2312" w:cs="仿宋_GB2312"/>
          <w:color w:val="000000"/>
          <w:sz w:val="32"/>
          <w:szCs w:val="32"/>
          <w:lang w:val="en-US" w:eastAsia="zh-CN"/>
        </w:rPr>
        <w:t>经</w:t>
      </w:r>
      <w:r>
        <w:rPr>
          <w:rFonts w:hint="eastAsia" w:ascii="仿宋_GB2312" w:hAnsi="仿宋_GB2312" w:eastAsia="仿宋_GB2312" w:cs="仿宋_GB2312"/>
          <w:color w:val="000000"/>
          <w:sz w:val="32"/>
          <w:szCs w:val="32"/>
          <w:lang w:eastAsia="zh-CN"/>
        </w:rPr>
        <w:t>市、县（</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管委会）</w:t>
      </w:r>
      <w:r>
        <w:rPr>
          <w:rFonts w:hint="eastAsia" w:ascii="仿宋_GB2312" w:hAnsi="仿宋_GB2312" w:eastAsia="仿宋_GB2312" w:cs="仿宋_GB2312"/>
          <w:color w:val="000000"/>
          <w:sz w:val="32"/>
          <w:szCs w:val="32"/>
          <w:lang w:val="en-US" w:eastAsia="zh-CN"/>
        </w:rPr>
        <w:t>人社部门</w:t>
      </w:r>
      <w:r>
        <w:rPr>
          <w:rFonts w:hint="eastAsia" w:ascii="仿宋_GB2312" w:hAnsi="仿宋_GB2312" w:cs="仿宋_GB2312"/>
          <w:color w:val="000000"/>
          <w:sz w:val="32"/>
          <w:szCs w:val="32"/>
          <w:lang w:eastAsia="zh-CN"/>
        </w:rPr>
        <w:t>确认</w:t>
      </w:r>
      <w:r>
        <w:rPr>
          <w:rFonts w:hint="eastAsia" w:ascii="仿宋_GB2312" w:hAnsi="仿宋_GB2312" w:eastAsia="仿宋_GB2312" w:cs="仿宋_GB2312"/>
          <w:color w:val="000000"/>
          <w:sz w:val="32"/>
          <w:szCs w:val="32"/>
        </w:rPr>
        <w:t>后</w:t>
      </w:r>
      <w:r>
        <w:rPr>
          <w:rFonts w:hint="eastAsia" w:ascii="仿宋_GB2312" w:hAnsi="仿宋_GB2312" w:eastAsia="仿宋_GB2312" w:cs="仿宋_GB2312"/>
          <w:color w:val="000000"/>
          <w:sz w:val="32"/>
          <w:szCs w:val="32"/>
          <w:lang w:val="en-US" w:eastAsia="zh-CN"/>
        </w:rPr>
        <w:t>公布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各级人社部门在日常监督管理中，发现人才项目存在“取消资格”条件中任一情况的，应通知项目单位停止运行，并报审批机关同意，取消其资格，同时在同级门户</w:t>
      </w:r>
      <w:r>
        <w:rPr>
          <w:rFonts w:hint="eastAsia" w:ascii="仿宋_GB2312" w:eastAsia="仿宋_GB2312" w:cs="仿宋_GB2312"/>
          <w:color w:val="000000"/>
          <w:kern w:val="0"/>
          <w:sz w:val="32"/>
          <w:szCs w:val="32"/>
        </w:rPr>
        <w:t>网站进行</w:t>
      </w:r>
      <w:r>
        <w:rPr>
          <w:rFonts w:hint="eastAsia" w:ascii="仿宋_GB2312" w:eastAsia="仿宋_GB2312" w:cs="仿宋_GB2312"/>
          <w:color w:val="000000"/>
          <w:kern w:val="0"/>
          <w:sz w:val="32"/>
          <w:szCs w:val="32"/>
          <w:lang w:val="en-US" w:eastAsia="zh-CN"/>
        </w:rPr>
        <w:t>公布</w:t>
      </w:r>
      <w:r>
        <w:rPr>
          <w:rFonts w:hint="eastAsia" w:asci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161" w:beforeLines="25" w:after="161" w:afterLines="25" w:line="600" w:lineRule="exact"/>
        <w:ind w:left="0" w:firstLine="0" w:firstLineChars="0"/>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第十八条</w:t>
      </w:r>
      <w:r>
        <w:rPr>
          <w:rFonts w:hint="eastAsia" w:ascii="仿宋_GB2312" w:hAnsi="仿宋_GB2312" w:eastAsia="仿宋_GB2312" w:cs="仿宋_GB2312"/>
          <w:color w:val="000000"/>
          <w:sz w:val="32"/>
          <w:szCs w:val="32"/>
          <w:lang w:val="en-US" w:eastAsia="zh-CN"/>
        </w:rPr>
        <w:t xml:space="preserve">  本办法涉及的申请材料、评估资料等内容和要求，可根据省市人才项目最新的工作要求和项目实施单位项目工作开展实际情况适时调整。</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第十九条</w:t>
      </w:r>
      <w:r>
        <w:rPr>
          <w:rFonts w:hint="eastAsia" w:ascii="仿宋_GB2312" w:hAnsi="仿宋_GB2312" w:eastAsia="仿宋_GB2312" w:cs="仿宋_GB2312"/>
          <w:color w:val="000000"/>
          <w:sz w:val="32"/>
          <w:szCs w:val="32"/>
          <w:lang w:val="en-US" w:eastAsia="zh-CN"/>
        </w:rPr>
        <w:t xml:space="preserve">  各县（区、管委会）人社</w:t>
      </w:r>
      <w:r>
        <w:rPr>
          <w:rFonts w:hint="eastAsia" w:ascii="仿宋_GB2312" w:hAnsi="仿宋_GB2312" w:cs="仿宋_GB2312"/>
          <w:color w:val="000000"/>
          <w:sz w:val="32"/>
          <w:szCs w:val="32"/>
          <w:lang w:val="en-US" w:eastAsia="zh-CN"/>
        </w:rPr>
        <w:t>局</w:t>
      </w:r>
      <w:r>
        <w:rPr>
          <w:rFonts w:hint="eastAsia" w:ascii="仿宋_GB2312" w:hAnsi="仿宋_GB2312" w:eastAsia="仿宋_GB2312" w:cs="仿宋_GB2312"/>
          <w:color w:val="000000"/>
          <w:sz w:val="32"/>
          <w:szCs w:val="32"/>
          <w:lang w:val="en-US" w:eastAsia="zh-CN"/>
        </w:rPr>
        <w:t>认定的区级人才项目的服务管理参照本办法执行。</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第二十条</w:t>
      </w:r>
      <w:r>
        <w:rPr>
          <w:rFonts w:hint="eastAsia" w:ascii="仿宋_GB2312" w:hAnsi="仿宋_GB2312" w:eastAsia="仿宋_GB2312" w:cs="仿宋_GB2312"/>
          <w:color w:val="000000"/>
          <w:sz w:val="32"/>
          <w:szCs w:val="32"/>
          <w:lang w:val="en-US" w:eastAsia="zh-CN"/>
        </w:rPr>
        <w:t xml:space="preserve">  本意见自印发之日起实施，有效期5年。由莆田市人力资源和社会保障局负责解释。</w:t>
      </w:r>
    </w:p>
    <w:p>
      <w:pPr>
        <w:keepNext w:val="0"/>
        <w:keepLines w:val="0"/>
        <w:pageBreakBefore w:val="0"/>
        <w:widowControl w:val="0"/>
        <w:kinsoku/>
        <w:wordWrap/>
        <w:overflowPunct/>
        <w:topLinePunct w:val="0"/>
        <w:autoSpaceDE/>
        <w:autoSpaceDN/>
        <w:bidi w:val="0"/>
        <w:adjustRightInd/>
        <w:snapToGrid/>
        <w:spacing w:line="600" w:lineRule="exact"/>
        <w:ind w:left="0" w:firstLine="670" w:firstLineChars="200"/>
        <w:jc w:val="both"/>
        <w:textAlignment w:val="auto"/>
        <w:rPr>
          <w:rFonts w:hint="eastAsia" w:ascii="仿宋_GB2312" w:hAnsi="仿宋_GB2312" w:eastAsia="仿宋_GB2312" w:cs="仿宋_GB2312"/>
          <w:color w:val="000000"/>
          <w:sz w:val="32"/>
          <w:szCs w:val="32"/>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line="600" w:lineRule="exact"/>
        <w:ind w:firstLine="67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附件：1.莆田市人才项目年检申请表</w:t>
      </w:r>
    </w:p>
    <w:p>
      <w:pPr>
        <w:pStyle w:val="5"/>
        <w:keepNext w:val="0"/>
        <w:keepLines w:val="0"/>
        <w:pageBreakBefore w:val="0"/>
        <w:widowControl w:val="0"/>
        <w:kinsoku/>
        <w:wordWrap/>
        <w:overflowPunct/>
        <w:topLinePunct w:val="0"/>
        <w:autoSpaceDE/>
        <w:autoSpaceDN/>
        <w:bidi w:val="0"/>
        <w:adjustRightInd w:val="0"/>
        <w:snapToGrid w:val="0"/>
        <w:spacing w:line="600" w:lineRule="exact"/>
        <w:ind w:firstLine="67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2.莆田市人才项目评价结果汇总表</w:t>
      </w:r>
    </w:p>
    <w:p>
      <w:pPr>
        <w:pStyle w:val="5"/>
        <w:adjustRightInd w:val="0"/>
        <w:snapToGrid w:val="0"/>
        <w:spacing w:line="600" w:lineRule="exact"/>
        <w:rPr>
          <w:rFonts w:hint="eastAsia" w:ascii="黑体" w:hAnsi="黑体" w:eastAsia="黑体" w:cs="黑体"/>
          <w:color w:val="000000"/>
          <w:sz w:val="32"/>
          <w:szCs w:val="32"/>
          <w:lang w:val="en-US" w:eastAsia="zh-CN"/>
        </w:rPr>
      </w:pPr>
    </w:p>
    <w:p>
      <w:pPr>
        <w:pStyle w:val="5"/>
        <w:adjustRightInd w:val="0"/>
        <w:snapToGrid w:val="0"/>
        <w:spacing w:line="600" w:lineRule="exact"/>
        <w:rPr>
          <w:rFonts w:hint="eastAsia" w:ascii="黑体" w:hAnsi="黑体" w:eastAsia="黑体" w:cs="黑体"/>
          <w:color w:val="000000"/>
          <w:sz w:val="32"/>
          <w:szCs w:val="32"/>
          <w:lang w:val="en-US" w:eastAsia="zh-CN"/>
        </w:rPr>
      </w:pPr>
    </w:p>
    <w:p>
      <w:pPr>
        <w:pStyle w:val="5"/>
        <w:adjustRightInd w:val="0"/>
        <w:snapToGrid w:val="0"/>
        <w:spacing w:line="600" w:lineRule="exact"/>
        <w:rPr>
          <w:rFonts w:hint="eastAsia" w:ascii="仿宋_GB2312" w:hAnsi="仿宋_GB2312" w:eastAsia="仿宋_GB2312" w:cs="仿宋_GB2312"/>
          <w:color w:val="000000"/>
          <w:sz w:val="32"/>
          <w:szCs w:val="32"/>
          <w:lang w:val="en-US" w:eastAsia="zh-CN"/>
        </w:rPr>
      </w:pPr>
      <w:bookmarkStart w:id="1" w:name="_GoBack"/>
      <w:bookmarkEnd w:id="1"/>
      <w:r>
        <w:rPr>
          <w:rFonts w:hint="eastAsia" w:ascii="黑体" w:hAnsi="黑体" w:eastAsia="黑体" w:cs="黑体"/>
          <w:color w:val="000000"/>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b w:val="0"/>
          <w:bCs w:val="0"/>
          <w:i w:val="0"/>
          <w:iCs w:val="0"/>
          <w:caps w:val="0"/>
          <w:color w:val="000000"/>
          <w:spacing w:val="0"/>
          <w:kern w:val="44"/>
          <w:sz w:val="40"/>
          <w:szCs w:val="40"/>
          <w:u w:val="none"/>
          <w:shd w:val="clear" w:color="auto" w:fill="FFFFFF"/>
          <w:lang w:val="en-US" w:eastAsia="zh-CN" w:bidi="ar"/>
        </w:rPr>
        <w:t>莆田市人才项目年检申请表</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填报单位：（盖章）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      填报时间：</w:t>
      </w:r>
    </w:p>
    <w:tbl>
      <w:tblPr>
        <w:tblStyle w:val="11"/>
        <w:tblW w:w="9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14"/>
        <w:gridCol w:w="2399"/>
        <w:gridCol w:w="5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1914"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sz w:val="24"/>
                <w:szCs w:val="21"/>
              </w:rPr>
            </w:pPr>
            <w:r>
              <w:rPr>
                <w:rFonts w:hint="eastAsia"/>
                <w:sz w:val="24"/>
                <w:szCs w:val="21"/>
                <w:lang w:val="en-US" w:eastAsia="zh-CN"/>
              </w:rPr>
              <w:t>申请单位</w:t>
            </w: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rPr>
            </w:pPr>
            <w:r>
              <w:rPr>
                <w:rFonts w:hint="eastAsia"/>
                <w:sz w:val="24"/>
                <w:szCs w:val="21"/>
                <w:lang w:val="en-US" w:eastAsia="zh-CN"/>
              </w:rPr>
              <w:t>项目名称</w:t>
            </w:r>
          </w:p>
        </w:tc>
        <w:tc>
          <w:tcPr>
            <w:tcW w:w="51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sz w:val="24"/>
                <w:szCs w:val="21"/>
              </w:rPr>
            </w:pP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rPr>
            </w:pPr>
            <w:r>
              <w:rPr>
                <w:rFonts w:hint="eastAsia"/>
                <w:sz w:val="24"/>
                <w:szCs w:val="21"/>
                <w:lang w:val="en-US" w:eastAsia="zh-CN"/>
              </w:rPr>
              <w:t>实施单位名称</w:t>
            </w:r>
          </w:p>
        </w:tc>
        <w:tc>
          <w:tcPr>
            <w:tcW w:w="51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sz w:val="24"/>
                <w:szCs w:val="21"/>
              </w:rPr>
            </w:pP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rPr>
            </w:pPr>
            <w:r>
              <w:rPr>
                <w:rFonts w:hint="eastAsia"/>
                <w:sz w:val="24"/>
                <w:szCs w:val="21"/>
                <w:lang w:val="en-US" w:eastAsia="zh-CN"/>
              </w:rPr>
              <w:t>项目实施开始时间</w:t>
            </w:r>
          </w:p>
        </w:tc>
        <w:tc>
          <w:tcPr>
            <w:tcW w:w="51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sz w:val="24"/>
                <w:szCs w:val="21"/>
              </w:rPr>
            </w:pP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rPr>
            </w:pPr>
            <w:r>
              <w:rPr>
                <w:rFonts w:hint="eastAsia"/>
                <w:sz w:val="24"/>
                <w:szCs w:val="21"/>
                <w:lang w:val="en-US" w:eastAsia="zh-CN"/>
              </w:rPr>
              <w:t>项目获评时间</w:t>
            </w:r>
          </w:p>
        </w:tc>
        <w:tc>
          <w:tcPr>
            <w:tcW w:w="51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sz w:val="24"/>
                <w:szCs w:val="21"/>
              </w:rPr>
            </w:pP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rPr>
            </w:pPr>
            <w:r>
              <w:rPr>
                <w:rFonts w:hint="eastAsia"/>
                <w:sz w:val="24"/>
                <w:szCs w:val="21"/>
                <w:lang w:val="en-US" w:eastAsia="zh-CN"/>
              </w:rPr>
              <w:t>项目获批资金额度</w:t>
            </w:r>
          </w:p>
        </w:tc>
        <w:tc>
          <w:tcPr>
            <w:tcW w:w="51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sz w:val="24"/>
                <w:szCs w:val="21"/>
                <w:lang w:val="en-US" w:eastAsia="zh-CN"/>
              </w:rPr>
            </w:pP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lang w:val="en-US" w:eastAsia="zh-CN"/>
              </w:rPr>
            </w:pPr>
            <w:r>
              <w:rPr>
                <w:rFonts w:hint="eastAsia"/>
                <w:sz w:val="24"/>
                <w:szCs w:val="21"/>
                <w:lang w:val="en-US" w:eastAsia="zh-CN"/>
              </w:rPr>
              <w:t>项目上年度实际</w:t>
            </w:r>
          </w:p>
          <w:p>
            <w:pPr>
              <w:jc w:val="center"/>
              <w:rPr>
                <w:rFonts w:hint="eastAsia"/>
                <w:sz w:val="24"/>
                <w:szCs w:val="21"/>
                <w:lang w:val="en-US" w:eastAsia="zh-CN"/>
              </w:rPr>
            </w:pPr>
            <w:r>
              <w:rPr>
                <w:rFonts w:hint="eastAsia"/>
                <w:sz w:val="24"/>
                <w:szCs w:val="21"/>
                <w:lang w:val="en-US" w:eastAsia="zh-CN"/>
              </w:rPr>
              <w:t>使用专项资金额度</w:t>
            </w:r>
          </w:p>
        </w:tc>
        <w:tc>
          <w:tcPr>
            <w:tcW w:w="51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1914"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sz w:val="24"/>
                <w:szCs w:val="21"/>
              </w:rPr>
            </w:pPr>
          </w:p>
        </w:tc>
        <w:tc>
          <w:tcPr>
            <w:tcW w:w="23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lang w:val="en-US" w:eastAsia="zh-CN"/>
              </w:rPr>
            </w:pPr>
            <w:r>
              <w:rPr>
                <w:rFonts w:hint="eastAsia"/>
                <w:sz w:val="24"/>
                <w:szCs w:val="21"/>
                <w:lang w:val="en-US" w:eastAsia="zh-CN"/>
              </w:rPr>
              <w:t>负责人及联系方式</w:t>
            </w:r>
          </w:p>
        </w:tc>
        <w:tc>
          <w:tcPr>
            <w:tcW w:w="51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19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rPr>
            </w:pPr>
            <w:r>
              <w:rPr>
                <w:rFonts w:hint="eastAsia"/>
                <w:sz w:val="24"/>
                <w:szCs w:val="21"/>
                <w:lang w:val="en-US" w:eastAsia="zh-CN"/>
              </w:rPr>
              <w:t>上年度活动开展情况简介</w:t>
            </w:r>
          </w:p>
        </w:tc>
        <w:tc>
          <w:tcPr>
            <w:tcW w:w="759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19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lang w:val="en-US" w:eastAsia="zh-CN"/>
              </w:rPr>
            </w:pPr>
            <w:r>
              <w:rPr>
                <w:rFonts w:hint="eastAsia"/>
                <w:sz w:val="24"/>
                <w:szCs w:val="21"/>
                <w:lang w:val="en-US" w:eastAsia="zh-CN"/>
              </w:rPr>
              <w:t>上年度项目实施取得的成果</w:t>
            </w:r>
          </w:p>
        </w:tc>
        <w:tc>
          <w:tcPr>
            <w:tcW w:w="759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5" w:hRule="atLeast"/>
          <w:jc w:val="center"/>
        </w:trPr>
        <w:tc>
          <w:tcPr>
            <w:tcW w:w="19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lang w:eastAsia="zh-CN"/>
              </w:rPr>
            </w:pPr>
            <w:r>
              <w:rPr>
                <w:rFonts w:hint="eastAsia"/>
                <w:sz w:val="24"/>
                <w:szCs w:val="21"/>
                <w:lang w:eastAsia="zh-CN"/>
              </w:rPr>
              <w:t>存在问题</w:t>
            </w:r>
          </w:p>
        </w:tc>
        <w:tc>
          <w:tcPr>
            <w:tcW w:w="759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7" w:hRule="atLeast"/>
          <w:jc w:val="center"/>
        </w:trPr>
        <w:tc>
          <w:tcPr>
            <w:tcW w:w="19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lang w:val="en-US" w:eastAsia="zh-CN"/>
              </w:rPr>
            </w:pPr>
            <w:r>
              <w:rPr>
                <w:rFonts w:hint="eastAsia"/>
                <w:sz w:val="24"/>
                <w:szCs w:val="21"/>
                <w:lang w:val="en-US" w:eastAsia="zh-CN"/>
              </w:rPr>
              <w:t>县区人社局</w:t>
            </w:r>
          </w:p>
          <w:p>
            <w:pPr>
              <w:jc w:val="center"/>
              <w:rPr>
                <w:rFonts w:hint="eastAsia"/>
                <w:sz w:val="24"/>
                <w:szCs w:val="21"/>
                <w:lang w:val="en-US" w:eastAsia="zh-CN"/>
              </w:rPr>
            </w:pPr>
            <w:r>
              <w:rPr>
                <w:rFonts w:hint="eastAsia"/>
                <w:sz w:val="24"/>
                <w:szCs w:val="21"/>
                <w:lang w:val="en-US" w:eastAsia="zh-CN"/>
              </w:rPr>
              <w:t>意见</w:t>
            </w:r>
          </w:p>
        </w:tc>
        <w:tc>
          <w:tcPr>
            <w:tcW w:w="759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lang w:val="en-US" w:eastAsia="zh-CN"/>
              </w:rPr>
            </w:pPr>
          </w:p>
          <w:p>
            <w:pPr>
              <w:jc w:val="center"/>
              <w:rPr>
                <w:rFonts w:hint="eastAsia"/>
                <w:sz w:val="24"/>
                <w:szCs w:val="21"/>
                <w:lang w:val="en-US" w:eastAsia="zh-CN"/>
              </w:rPr>
            </w:pPr>
          </w:p>
          <w:p>
            <w:pPr>
              <w:jc w:val="center"/>
              <w:rPr>
                <w:rFonts w:hint="eastAsia"/>
                <w:sz w:val="24"/>
                <w:szCs w:val="21"/>
                <w:lang w:val="en-US" w:eastAsia="zh-CN"/>
              </w:rPr>
            </w:pPr>
            <w:r>
              <w:rPr>
                <w:rFonts w:hint="eastAsia"/>
                <w:sz w:val="24"/>
                <w:szCs w:val="21"/>
                <w:lang w:val="en-US" w:eastAsia="zh-CN"/>
              </w:rPr>
              <w:t>盖章</w:t>
            </w:r>
          </w:p>
          <w:p>
            <w:pPr>
              <w:jc w:val="center"/>
              <w:rPr>
                <w:rFonts w:hint="eastAsia"/>
                <w:sz w:val="24"/>
                <w:szCs w:val="21"/>
                <w:lang w:val="en-US" w:eastAsia="zh-CN"/>
              </w:rPr>
            </w:pPr>
            <w:r>
              <w:rPr>
                <w:rFonts w:hint="eastAsia"/>
                <w:sz w:val="24"/>
                <w:szCs w:val="21"/>
                <w:lang w:val="en-US" w:eastAsia="zh-CN"/>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2" w:hRule="atLeast"/>
          <w:jc w:val="center"/>
        </w:trPr>
        <w:tc>
          <w:tcPr>
            <w:tcW w:w="19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lang w:val="en-US" w:eastAsia="zh-CN"/>
              </w:rPr>
            </w:pPr>
            <w:r>
              <w:rPr>
                <w:rFonts w:hint="eastAsia"/>
                <w:sz w:val="24"/>
                <w:szCs w:val="21"/>
                <w:lang w:val="en-US" w:eastAsia="zh-CN"/>
              </w:rPr>
              <w:t>市人社局</w:t>
            </w:r>
          </w:p>
          <w:p>
            <w:pPr>
              <w:jc w:val="center"/>
              <w:rPr>
                <w:rFonts w:hint="eastAsia"/>
                <w:sz w:val="24"/>
                <w:szCs w:val="21"/>
                <w:lang w:val="en-US" w:eastAsia="zh-CN"/>
              </w:rPr>
            </w:pPr>
            <w:r>
              <w:rPr>
                <w:rFonts w:hint="eastAsia"/>
                <w:sz w:val="24"/>
                <w:szCs w:val="21"/>
                <w:lang w:val="en-US" w:eastAsia="zh-CN"/>
              </w:rPr>
              <w:t>意见</w:t>
            </w:r>
          </w:p>
        </w:tc>
        <w:tc>
          <w:tcPr>
            <w:tcW w:w="759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4"/>
                <w:szCs w:val="21"/>
                <w:lang w:val="en-US" w:eastAsia="zh-CN"/>
              </w:rPr>
            </w:pPr>
          </w:p>
          <w:p>
            <w:pPr>
              <w:jc w:val="center"/>
              <w:rPr>
                <w:rFonts w:hint="eastAsia"/>
                <w:sz w:val="24"/>
                <w:szCs w:val="21"/>
                <w:lang w:val="en-US" w:eastAsia="zh-CN"/>
              </w:rPr>
            </w:pPr>
            <w:r>
              <w:rPr>
                <w:rFonts w:hint="eastAsia"/>
                <w:sz w:val="24"/>
                <w:szCs w:val="21"/>
                <w:lang w:val="en-US" w:eastAsia="zh-CN"/>
              </w:rPr>
              <w:t>盖章</w:t>
            </w:r>
          </w:p>
          <w:p>
            <w:pPr>
              <w:jc w:val="center"/>
              <w:rPr>
                <w:rFonts w:hint="eastAsia"/>
                <w:sz w:val="24"/>
                <w:szCs w:val="21"/>
                <w:lang w:val="en-US" w:eastAsia="zh-CN"/>
              </w:rPr>
            </w:pPr>
            <w:r>
              <w:rPr>
                <w:rFonts w:hint="eastAsia"/>
                <w:sz w:val="24"/>
                <w:szCs w:val="21"/>
                <w:lang w:val="en-US" w:eastAsia="zh-CN"/>
              </w:rPr>
              <w:t>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联系人：                              联系电话：</w:t>
      </w:r>
    </w:p>
    <w:p>
      <w:pPr>
        <w:pStyle w:val="5"/>
        <w:adjustRightInd w:val="0"/>
        <w:snapToGrid w:val="0"/>
        <w:spacing w:line="60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pStyle w:val="5"/>
        <w:adjustRightInd w:val="0"/>
        <w:snapToGrid w:val="0"/>
        <w:spacing w:line="600" w:lineRule="exact"/>
        <w:rPr>
          <w:rFonts w:hint="eastAsia" w:ascii="黑体" w:hAnsi="黑体" w:eastAsia="黑体" w:cs="黑体"/>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i w:val="0"/>
          <w:iCs w:val="0"/>
          <w:caps w:val="0"/>
          <w:color w:val="000000"/>
          <w:spacing w:val="0"/>
          <w:kern w:val="44"/>
          <w:sz w:val="40"/>
          <w:szCs w:val="40"/>
          <w:u w:val="none"/>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44"/>
          <w:sz w:val="40"/>
          <w:szCs w:val="40"/>
          <w:u w:val="none"/>
          <w:shd w:val="clear" w:color="auto" w:fill="FFFFFF"/>
          <w:lang w:val="en-US" w:eastAsia="zh-CN" w:bidi="ar"/>
        </w:rPr>
        <w:t>莆田市人才项目评价结果汇总表</w:t>
      </w:r>
    </w:p>
    <w:p>
      <w:pPr>
        <w:jc w:val="center"/>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20   年度</w:t>
      </w:r>
      <w:r>
        <w:rPr>
          <w:rFonts w:hint="eastAsia" w:ascii="楷体_GB2312" w:hAnsi="楷体_GB2312" w:eastAsia="楷体_GB2312" w:cs="楷体_GB2312"/>
          <w:color w:val="000000"/>
          <w:sz w:val="32"/>
          <w:szCs w:val="32"/>
          <w:lang w:eastAsia="zh-CN"/>
        </w:rPr>
        <w:t>）</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县区（盖章）：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 xml:space="preserve"> 时间：    年   月   日</w:t>
      </w:r>
    </w:p>
    <w:tbl>
      <w:tblPr>
        <w:tblStyle w:val="11"/>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317"/>
        <w:gridCol w:w="1482"/>
        <w:gridCol w:w="954"/>
        <w:gridCol w:w="913"/>
        <w:gridCol w:w="996"/>
        <w:gridCol w:w="996"/>
        <w:gridCol w:w="99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607" w:type="dxa"/>
            <w:noWrap w:val="0"/>
            <w:vAlign w:val="center"/>
          </w:tcPr>
          <w:p>
            <w:pPr>
              <w:jc w:val="center"/>
              <w:rPr>
                <w:rFonts w:hint="eastAsia" w:ascii="楷体_GB2312" w:hAnsi="楷体_GB2312" w:eastAsia="楷体_GB2312" w:cs="楷体_GB2312"/>
                <w:sz w:val="24"/>
                <w:szCs w:val="21"/>
                <w:lang w:val="en-US" w:eastAsia="zh-CN"/>
              </w:rPr>
            </w:pPr>
            <w:r>
              <w:rPr>
                <w:rFonts w:hint="eastAsia" w:ascii="楷体_GB2312" w:hAnsi="楷体_GB2312" w:eastAsia="楷体_GB2312" w:cs="楷体_GB2312"/>
                <w:sz w:val="24"/>
                <w:szCs w:val="21"/>
                <w:lang w:val="en-US" w:eastAsia="zh-CN"/>
              </w:rPr>
              <w:t>序号</w:t>
            </w:r>
          </w:p>
        </w:tc>
        <w:tc>
          <w:tcPr>
            <w:tcW w:w="1317" w:type="dxa"/>
            <w:noWrap w:val="0"/>
            <w:vAlign w:val="center"/>
          </w:tcPr>
          <w:p>
            <w:pPr>
              <w:jc w:val="center"/>
              <w:rPr>
                <w:rFonts w:hint="eastAsia" w:ascii="楷体_GB2312" w:hAnsi="楷体_GB2312" w:eastAsia="楷体_GB2312" w:cs="楷体_GB2312"/>
                <w:sz w:val="24"/>
                <w:szCs w:val="21"/>
                <w:lang w:val="en-US" w:eastAsia="zh-CN"/>
              </w:rPr>
            </w:pPr>
            <w:r>
              <w:rPr>
                <w:rFonts w:hint="eastAsia" w:ascii="楷体_GB2312" w:hAnsi="楷体_GB2312" w:eastAsia="楷体_GB2312" w:cs="楷体_GB2312"/>
                <w:sz w:val="24"/>
                <w:szCs w:val="21"/>
                <w:lang w:val="en-US" w:eastAsia="zh-CN"/>
              </w:rPr>
              <w:t>人才项目</w:t>
            </w:r>
          </w:p>
          <w:p>
            <w:pPr>
              <w:jc w:val="center"/>
              <w:rPr>
                <w:rFonts w:hint="eastAsia" w:ascii="楷体_GB2312" w:hAnsi="楷体_GB2312" w:eastAsia="楷体_GB2312" w:cs="楷体_GB2312"/>
                <w:sz w:val="24"/>
                <w:szCs w:val="21"/>
                <w:lang w:val="en-US" w:eastAsia="zh-CN"/>
              </w:rPr>
            </w:pPr>
            <w:r>
              <w:rPr>
                <w:rFonts w:hint="eastAsia" w:ascii="楷体_GB2312" w:hAnsi="楷体_GB2312" w:eastAsia="楷体_GB2312" w:cs="楷体_GB2312"/>
                <w:sz w:val="24"/>
                <w:szCs w:val="21"/>
                <w:lang w:val="en-US" w:eastAsia="zh-CN"/>
              </w:rPr>
              <w:t>类型</w:t>
            </w:r>
          </w:p>
        </w:tc>
        <w:tc>
          <w:tcPr>
            <w:tcW w:w="1482" w:type="dxa"/>
            <w:noWrap w:val="0"/>
            <w:vAlign w:val="center"/>
          </w:tcPr>
          <w:p>
            <w:pPr>
              <w:jc w:val="center"/>
              <w:rPr>
                <w:rFonts w:hint="eastAsia" w:ascii="楷体_GB2312" w:hAnsi="楷体_GB2312" w:eastAsia="楷体_GB2312" w:cs="楷体_GB2312"/>
                <w:sz w:val="24"/>
                <w:szCs w:val="21"/>
                <w:lang w:val="en-US" w:eastAsia="zh-CN"/>
              </w:rPr>
            </w:pPr>
            <w:r>
              <w:rPr>
                <w:rFonts w:hint="eastAsia" w:ascii="楷体_GB2312" w:hAnsi="楷体_GB2312" w:eastAsia="楷体_GB2312" w:cs="楷体_GB2312"/>
                <w:sz w:val="24"/>
                <w:szCs w:val="21"/>
                <w:lang w:val="en-US" w:eastAsia="zh-CN"/>
              </w:rPr>
              <w:t>项目</w:t>
            </w:r>
          </w:p>
          <w:p>
            <w:pPr>
              <w:jc w:val="center"/>
              <w:rPr>
                <w:rFonts w:hint="eastAsia" w:ascii="楷体_GB2312" w:hAnsi="楷体_GB2312" w:eastAsia="楷体_GB2312" w:cs="楷体_GB2312"/>
                <w:sz w:val="24"/>
                <w:szCs w:val="21"/>
                <w:lang w:val="en-US" w:eastAsia="zh-CN"/>
              </w:rPr>
            </w:pPr>
            <w:r>
              <w:rPr>
                <w:rFonts w:hint="eastAsia" w:ascii="楷体_GB2312" w:hAnsi="楷体_GB2312" w:eastAsia="楷体_GB2312" w:cs="楷体_GB2312"/>
                <w:sz w:val="24"/>
                <w:szCs w:val="21"/>
                <w:lang w:val="en-US" w:eastAsia="zh-CN"/>
              </w:rPr>
              <w:t>名称</w:t>
            </w:r>
          </w:p>
        </w:tc>
        <w:tc>
          <w:tcPr>
            <w:tcW w:w="954" w:type="dxa"/>
            <w:noWrap w:val="0"/>
            <w:vAlign w:val="center"/>
          </w:tcPr>
          <w:p>
            <w:pPr>
              <w:jc w:val="center"/>
              <w:rPr>
                <w:rFonts w:hint="eastAsia" w:ascii="楷体_GB2312" w:hAnsi="楷体_GB2312" w:eastAsia="楷体_GB2312" w:cs="楷体_GB2312"/>
                <w:sz w:val="24"/>
                <w:szCs w:val="21"/>
                <w:lang w:val="en-US" w:eastAsia="zh-CN"/>
              </w:rPr>
            </w:pPr>
            <w:r>
              <w:rPr>
                <w:rFonts w:hint="eastAsia" w:ascii="楷体_GB2312" w:hAnsi="楷体_GB2312" w:eastAsia="楷体_GB2312" w:cs="楷体_GB2312"/>
                <w:sz w:val="24"/>
                <w:szCs w:val="21"/>
                <w:lang w:val="en-US" w:eastAsia="zh-CN"/>
              </w:rPr>
              <w:t>项目实施单位</w:t>
            </w:r>
          </w:p>
        </w:tc>
        <w:tc>
          <w:tcPr>
            <w:tcW w:w="913" w:type="dxa"/>
            <w:noWrap w:val="0"/>
            <w:vAlign w:val="center"/>
          </w:tcPr>
          <w:p>
            <w:pPr>
              <w:jc w:val="center"/>
              <w:rPr>
                <w:rFonts w:hint="eastAsia" w:ascii="楷体_GB2312" w:hAnsi="楷体_GB2312" w:eastAsia="楷体_GB2312" w:cs="楷体_GB2312"/>
                <w:sz w:val="24"/>
                <w:szCs w:val="21"/>
                <w:lang w:val="en-US" w:eastAsia="zh-CN"/>
              </w:rPr>
            </w:pPr>
            <w:r>
              <w:rPr>
                <w:rFonts w:hint="eastAsia" w:ascii="楷体_GB2312" w:hAnsi="楷体_GB2312" w:eastAsia="楷体_GB2312" w:cs="楷体_GB2312"/>
                <w:sz w:val="24"/>
                <w:szCs w:val="21"/>
                <w:lang w:val="en-US" w:eastAsia="zh-CN"/>
              </w:rPr>
              <w:t>项目负责人</w:t>
            </w:r>
          </w:p>
        </w:tc>
        <w:tc>
          <w:tcPr>
            <w:tcW w:w="996" w:type="dxa"/>
            <w:noWrap w:val="0"/>
            <w:vAlign w:val="center"/>
          </w:tcPr>
          <w:p>
            <w:pPr>
              <w:jc w:val="center"/>
              <w:rPr>
                <w:rFonts w:hint="eastAsia" w:ascii="楷体_GB2312" w:hAnsi="楷体_GB2312" w:eastAsia="楷体_GB2312" w:cs="楷体_GB2312"/>
                <w:sz w:val="24"/>
                <w:szCs w:val="21"/>
                <w:lang w:val="en-US" w:eastAsia="zh-CN"/>
              </w:rPr>
            </w:pPr>
            <w:r>
              <w:rPr>
                <w:rFonts w:hint="eastAsia" w:ascii="楷体_GB2312" w:hAnsi="楷体_GB2312" w:eastAsia="楷体_GB2312" w:cs="楷体_GB2312"/>
                <w:sz w:val="24"/>
                <w:szCs w:val="21"/>
                <w:lang w:val="en-US" w:eastAsia="zh-CN"/>
              </w:rPr>
              <w:t>年检材料是否完整</w:t>
            </w:r>
          </w:p>
        </w:tc>
        <w:tc>
          <w:tcPr>
            <w:tcW w:w="996" w:type="dxa"/>
            <w:noWrap w:val="0"/>
            <w:vAlign w:val="center"/>
          </w:tcPr>
          <w:p>
            <w:pPr>
              <w:jc w:val="center"/>
              <w:rPr>
                <w:rFonts w:hint="eastAsia" w:ascii="楷体_GB2312" w:hAnsi="楷体_GB2312" w:eastAsia="楷体_GB2312" w:cs="楷体_GB2312"/>
                <w:sz w:val="24"/>
                <w:szCs w:val="21"/>
                <w:lang w:val="en-US" w:eastAsia="zh-CN"/>
              </w:rPr>
            </w:pPr>
            <w:r>
              <w:rPr>
                <w:rFonts w:hint="eastAsia" w:ascii="楷体_GB2312" w:hAnsi="楷体_GB2312" w:eastAsia="楷体_GB2312" w:cs="楷体_GB2312"/>
                <w:sz w:val="24"/>
                <w:szCs w:val="21"/>
                <w:lang w:val="en-US" w:eastAsia="zh-CN"/>
              </w:rPr>
              <w:t>年检</w:t>
            </w:r>
          </w:p>
          <w:p>
            <w:pPr>
              <w:jc w:val="center"/>
              <w:rPr>
                <w:rFonts w:hint="eastAsia" w:ascii="楷体_GB2312" w:hAnsi="楷体_GB2312" w:eastAsia="楷体_GB2312" w:cs="楷体_GB2312"/>
                <w:sz w:val="24"/>
                <w:szCs w:val="21"/>
                <w:lang w:val="en-US" w:eastAsia="zh-CN"/>
              </w:rPr>
            </w:pPr>
            <w:r>
              <w:rPr>
                <w:rFonts w:hint="eastAsia" w:ascii="楷体_GB2312" w:hAnsi="楷体_GB2312" w:eastAsia="楷体_GB2312" w:cs="楷体_GB2312"/>
                <w:sz w:val="24"/>
                <w:szCs w:val="21"/>
                <w:lang w:val="en-US" w:eastAsia="zh-CN"/>
              </w:rPr>
              <w:t>结论</w:t>
            </w:r>
          </w:p>
        </w:tc>
        <w:tc>
          <w:tcPr>
            <w:tcW w:w="996" w:type="dxa"/>
            <w:noWrap w:val="0"/>
            <w:vAlign w:val="center"/>
          </w:tcPr>
          <w:p>
            <w:pPr>
              <w:jc w:val="center"/>
              <w:rPr>
                <w:rFonts w:hint="eastAsia" w:ascii="楷体_GB2312" w:hAnsi="楷体_GB2312" w:eastAsia="楷体_GB2312" w:cs="楷体_GB2312"/>
                <w:sz w:val="24"/>
                <w:szCs w:val="21"/>
                <w:lang w:val="en-US" w:eastAsia="zh-CN"/>
              </w:rPr>
            </w:pPr>
            <w:r>
              <w:rPr>
                <w:rFonts w:hint="eastAsia" w:ascii="楷体_GB2312" w:hAnsi="楷体_GB2312" w:eastAsia="楷体_GB2312" w:cs="楷体_GB2312"/>
                <w:sz w:val="24"/>
                <w:szCs w:val="21"/>
                <w:lang w:val="en-US" w:eastAsia="zh-CN"/>
              </w:rPr>
              <w:t>县区</w:t>
            </w:r>
          </w:p>
          <w:p>
            <w:pPr>
              <w:jc w:val="center"/>
              <w:rPr>
                <w:rFonts w:hint="eastAsia" w:ascii="楷体_GB2312" w:hAnsi="楷体_GB2312" w:eastAsia="楷体_GB2312" w:cs="楷体_GB2312"/>
                <w:sz w:val="24"/>
                <w:szCs w:val="21"/>
                <w:lang w:val="en-US" w:eastAsia="zh-CN"/>
              </w:rPr>
            </w:pPr>
            <w:r>
              <w:rPr>
                <w:rFonts w:hint="eastAsia" w:ascii="楷体_GB2312" w:hAnsi="楷体_GB2312" w:eastAsia="楷体_GB2312" w:cs="楷体_GB2312"/>
                <w:sz w:val="24"/>
                <w:szCs w:val="21"/>
                <w:lang w:val="en-US" w:eastAsia="zh-CN"/>
              </w:rPr>
              <w:t>意见</w:t>
            </w:r>
          </w:p>
        </w:tc>
        <w:tc>
          <w:tcPr>
            <w:tcW w:w="996" w:type="dxa"/>
            <w:noWrap w:val="0"/>
            <w:vAlign w:val="center"/>
          </w:tcPr>
          <w:p>
            <w:pPr>
              <w:jc w:val="center"/>
              <w:rPr>
                <w:rFonts w:hint="eastAsia" w:ascii="楷体_GB2312" w:hAnsi="楷体_GB2312" w:eastAsia="楷体_GB2312" w:cs="楷体_GB2312"/>
                <w:sz w:val="24"/>
                <w:szCs w:val="21"/>
                <w:lang w:val="en-US" w:eastAsia="zh-CN"/>
              </w:rPr>
            </w:pPr>
            <w:r>
              <w:rPr>
                <w:rFonts w:hint="eastAsia" w:ascii="楷体_GB2312" w:hAnsi="楷体_GB2312" w:eastAsia="楷体_GB2312" w:cs="楷体_GB2312"/>
                <w:sz w:val="24"/>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07" w:type="dxa"/>
            <w:noWrap w:val="0"/>
            <w:vAlign w:val="center"/>
          </w:tcPr>
          <w:p>
            <w:pPr>
              <w:jc w:val="center"/>
              <w:rPr>
                <w:rFonts w:hint="eastAsia" w:ascii="宋体" w:hAnsi="宋体" w:eastAsia="宋体" w:cs="宋体"/>
                <w:color w:val="000000"/>
                <w:sz w:val="24"/>
                <w:szCs w:val="24"/>
                <w:vertAlign w:val="baseline"/>
              </w:rPr>
            </w:pPr>
          </w:p>
        </w:tc>
        <w:tc>
          <w:tcPr>
            <w:tcW w:w="1317" w:type="dxa"/>
            <w:noWrap w:val="0"/>
            <w:vAlign w:val="center"/>
          </w:tcPr>
          <w:p>
            <w:pPr>
              <w:jc w:val="center"/>
              <w:rPr>
                <w:rFonts w:hint="eastAsia" w:ascii="宋体" w:hAnsi="宋体" w:eastAsia="宋体" w:cs="宋体"/>
                <w:color w:val="000000"/>
                <w:sz w:val="24"/>
                <w:szCs w:val="24"/>
                <w:vertAlign w:val="baseline"/>
              </w:rPr>
            </w:pPr>
          </w:p>
        </w:tc>
        <w:tc>
          <w:tcPr>
            <w:tcW w:w="1482" w:type="dxa"/>
            <w:noWrap w:val="0"/>
            <w:vAlign w:val="center"/>
          </w:tcPr>
          <w:p>
            <w:pPr>
              <w:jc w:val="center"/>
              <w:rPr>
                <w:rFonts w:hint="eastAsia" w:ascii="宋体" w:hAnsi="宋体" w:eastAsia="宋体" w:cs="宋体"/>
                <w:color w:val="000000"/>
                <w:sz w:val="24"/>
                <w:szCs w:val="24"/>
                <w:vertAlign w:val="baseline"/>
              </w:rPr>
            </w:pPr>
          </w:p>
        </w:tc>
        <w:tc>
          <w:tcPr>
            <w:tcW w:w="954" w:type="dxa"/>
            <w:noWrap w:val="0"/>
            <w:vAlign w:val="center"/>
          </w:tcPr>
          <w:p>
            <w:pPr>
              <w:jc w:val="center"/>
              <w:rPr>
                <w:rFonts w:hint="eastAsia" w:ascii="宋体" w:hAnsi="宋体" w:eastAsia="宋体" w:cs="宋体"/>
                <w:color w:val="000000"/>
                <w:sz w:val="24"/>
                <w:szCs w:val="24"/>
                <w:vertAlign w:val="baseline"/>
              </w:rPr>
            </w:pPr>
          </w:p>
        </w:tc>
        <w:tc>
          <w:tcPr>
            <w:tcW w:w="913"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07" w:type="dxa"/>
            <w:noWrap w:val="0"/>
            <w:vAlign w:val="center"/>
          </w:tcPr>
          <w:p>
            <w:pPr>
              <w:jc w:val="center"/>
              <w:rPr>
                <w:rFonts w:hint="eastAsia" w:ascii="宋体" w:hAnsi="宋体" w:eastAsia="宋体" w:cs="宋体"/>
                <w:color w:val="000000"/>
                <w:sz w:val="24"/>
                <w:szCs w:val="24"/>
                <w:vertAlign w:val="baseline"/>
              </w:rPr>
            </w:pPr>
          </w:p>
        </w:tc>
        <w:tc>
          <w:tcPr>
            <w:tcW w:w="1317" w:type="dxa"/>
            <w:noWrap w:val="0"/>
            <w:vAlign w:val="center"/>
          </w:tcPr>
          <w:p>
            <w:pPr>
              <w:jc w:val="center"/>
              <w:rPr>
                <w:rFonts w:hint="eastAsia" w:ascii="宋体" w:hAnsi="宋体" w:eastAsia="宋体" w:cs="宋体"/>
                <w:color w:val="000000"/>
                <w:sz w:val="24"/>
                <w:szCs w:val="24"/>
                <w:vertAlign w:val="baseline"/>
              </w:rPr>
            </w:pPr>
          </w:p>
        </w:tc>
        <w:tc>
          <w:tcPr>
            <w:tcW w:w="1482" w:type="dxa"/>
            <w:noWrap w:val="0"/>
            <w:vAlign w:val="center"/>
          </w:tcPr>
          <w:p>
            <w:pPr>
              <w:jc w:val="center"/>
              <w:rPr>
                <w:rFonts w:hint="eastAsia" w:ascii="宋体" w:hAnsi="宋体" w:eastAsia="宋体" w:cs="宋体"/>
                <w:color w:val="000000"/>
                <w:sz w:val="24"/>
                <w:szCs w:val="24"/>
                <w:vertAlign w:val="baseline"/>
              </w:rPr>
            </w:pPr>
          </w:p>
        </w:tc>
        <w:tc>
          <w:tcPr>
            <w:tcW w:w="954" w:type="dxa"/>
            <w:noWrap w:val="0"/>
            <w:vAlign w:val="center"/>
          </w:tcPr>
          <w:p>
            <w:pPr>
              <w:jc w:val="center"/>
              <w:rPr>
                <w:rFonts w:hint="eastAsia" w:ascii="宋体" w:hAnsi="宋体" w:eastAsia="宋体" w:cs="宋体"/>
                <w:color w:val="000000"/>
                <w:sz w:val="24"/>
                <w:szCs w:val="24"/>
                <w:vertAlign w:val="baseline"/>
              </w:rPr>
            </w:pPr>
          </w:p>
        </w:tc>
        <w:tc>
          <w:tcPr>
            <w:tcW w:w="913"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07" w:type="dxa"/>
            <w:noWrap w:val="0"/>
            <w:vAlign w:val="center"/>
          </w:tcPr>
          <w:p>
            <w:pPr>
              <w:jc w:val="center"/>
              <w:rPr>
                <w:rFonts w:hint="eastAsia" w:ascii="宋体" w:hAnsi="宋体" w:eastAsia="宋体" w:cs="宋体"/>
                <w:color w:val="000000"/>
                <w:sz w:val="24"/>
                <w:szCs w:val="24"/>
                <w:vertAlign w:val="baseline"/>
              </w:rPr>
            </w:pPr>
          </w:p>
        </w:tc>
        <w:tc>
          <w:tcPr>
            <w:tcW w:w="1317" w:type="dxa"/>
            <w:noWrap w:val="0"/>
            <w:vAlign w:val="center"/>
          </w:tcPr>
          <w:p>
            <w:pPr>
              <w:jc w:val="center"/>
              <w:rPr>
                <w:rFonts w:hint="eastAsia" w:ascii="宋体" w:hAnsi="宋体" w:eastAsia="宋体" w:cs="宋体"/>
                <w:color w:val="000000"/>
                <w:sz w:val="24"/>
                <w:szCs w:val="24"/>
                <w:vertAlign w:val="baseline"/>
              </w:rPr>
            </w:pPr>
          </w:p>
        </w:tc>
        <w:tc>
          <w:tcPr>
            <w:tcW w:w="1482" w:type="dxa"/>
            <w:noWrap w:val="0"/>
            <w:vAlign w:val="center"/>
          </w:tcPr>
          <w:p>
            <w:pPr>
              <w:jc w:val="center"/>
              <w:rPr>
                <w:rFonts w:hint="eastAsia" w:ascii="宋体" w:hAnsi="宋体" w:eastAsia="宋体" w:cs="宋体"/>
                <w:color w:val="000000"/>
                <w:sz w:val="24"/>
                <w:szCs w:val="24"/>
                <w:vertAlign w:val="baseline"/>
              </w:rPr>
            </w:pPr>
          </w:p>
        </w:tc>
        <w:tc>
          <w:tcPr>
            <w:tcW w:w="954" w:type="dxa"/>
            <w:noWrap w:val="0"/>
            <w:vAlign w:val="center"/>
          </w:tcPr>
          <w:p>
            <w:pPr>
              <w:jc w:val="center"/>
              <w:rPr>
                <w:rFonts w:hint="eastAsia" w:ascii="宋体" w:hAnsi="宋体" w:eastAsia="宋体" w:cs="宋体"/>
                <w:color w:val="000000"/>
                <w:sz w:val="24"/>
                <w:szCs w:val="24"/>
                <w:vertAlign w:val="baseline"/>
              </w:rPr>
            </w:pPr>
          </w:p>
        </w:tc>
        <w:tc>
          <w:tcPr>
            <w:tcW w:w="913"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07" w:type="dxa"/>
            <w:noWrap w:val="0"/>
            <w:vAlign w:val="center"/>
          </w:tcPr>
          <w:p>
            <w:pPr>
              <w:jc w:val="center"/>
              <w:rPr>
                <w:rFonts w:hint="eastAsia" w:ascii="宋体" w:hAnsi="宋体" w:eastAsia="宋体" w:cs="宋体"/>
                <w:color w:val="000000"/>
                <w:sz w:val="24"/>
                <w:szCs w:val="24"/>
                <w:vertAlign w:val="baseline"/>
              </w:rPr>
            </w:pPr>
          </w:p>
        </w:tc>
        <w:tc>
          <w:tcPr>
            <w:tcW w:w="1317" w:type="dxa"/>
            <w:noWrap w:val="0"/>
            <w:vAlign w:val="center"/>
          </w:tcPr>
          <w:p>
            <w:pPr>
              <w:jc w:val="center"/>
              <w:rPr>
                <w:rFonts w:hint="eastAsia" w:ascii="宋体" w:hAnsi="宋体" w:eastAsia="宋体" w:cs="宋体"/>
                <w:color w:val="000000"/>
                <w:sz w:val="24"/>
                <w:szCs w:val="24"/>
                <w:vertAlign w:val="baseline"/>
              </w:rPr>
            </w:pPr>
          </w:p>
        </w:tc>
        <w:tc>
          <w:tcPr>
            <w:tcW w:w="1482" w:type="dxa"/>
            <w:noWrap w:val="0"/>
            <w:vAlign w:val="center"/>
          </w:tcPr>
          <w:p>
            <w:pPr>
              <w:jc w:val="center"/>
              <w:rPr>
                <w:rFonts w:hint="eastAsia" w:ascii="宋体" w:hAnsi="宋体" w:eastAsia="宋体" w:cs="宋体"/>
                <w:color w:val="000000"/>
                <w:sz w:val="24"/>
                <w:szCs w:val="24"/>
                <w:vertAlign w:val="baseline"/>
              </w:rPr>
            </w:pPr>
          </w:p>
        </w:tc>
        <w:tc>
          <w:tcPr>
            <w:tcW w:w="954" w:type="dxa"/>
            <w:noWrap w:val="0"/>
            <w:vAlign w:val="center"/>
          </w:tcPr>
          <w:p>
            <w:pPr>
              <w:jc w:val="center"/>
              <w:rPr>
                <w:rFonts w:hint="eastAsia" w:ascii="宋体" w:hAnsi="宋体" w:eastAsia="宋体" w:cs="宋体"/>
                <w:color w:val="000000"/>
                <w:sz w:val="24"/>
                <w:szCs w:val="24"/>
                <w:vertAlign w:val="baseline"/>
              </w:rPr>
            </w:pPr>
          </w:p>
        </w:tc>
        <w:tc>
          <w:tcPr>
            <w:tcW w:w="913"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07" w:type="dxa"/>
            <w:noWrap w:val="0"/>
            <w:vAlign w:val="center"/>
          </w:tcPr>
          <w:p>
            <w:pPr>
              <w:jc w:val="center"/>
              <w:rPr>
                <w:rFonts w:hint="eastAsia" w:ascii="宋体" w:hAnsi="宋体" w:eastAsia="宋体" w:cs="宋体"/>
                <w:color w:val="000000"/>
                <w:sz w:val="24"/>
                <w:szCs w:val="24"/>
                <w:vertAlign w:val="baseline"/>
              </w:rPr>
            </w:pPr>
          </w:p>
        </w:tc>
        <w:tc>
          <w:tcPr>
            <w:tcW w:w="1317" w:type="dxa"/>
            <w:noWrap w:val="0"/>
            <w:vAlign w:val="center"/>
          </w:tcPr>
          <w:p>
            <w:pPr>
              <w:jc w:val="center"/>
              <w:rPr>
                <w:rFonts w:hint="eastAsia" w:ascii="宋体" w:hAnsi="宋体" w:eastAsia="宋体" w:cs="宋体"/>
                <w:color w:val="000000"/>
                <w:sz w:val="24"/>
                <w:szCs w:val="24"/>
                <w:vertAlign w:val="baseline"/>
              </w:rPr>
            </w:pPr>
          </w:p>
        </w:tc>
        <w:tc>
          <w:tcPr>
            <w:tcW w:w="1482" w:type="dxa"/>
            <w:noWrap w:val="0"/>
            <w:vAlign w:val="center"/>
          </w:tcPr>
          <w:p>
            <w:pPr>
              <w:jc w:val="center"/>
              <w:rPr>
                <w:rFonts w:hint="eastAsia" w:ascii="宋体" w:hAnsi="宋体" w:eastAsia="宋体" w:cs="宋体"/>
                <w:color w:val="000000"/>
                <w:sz w:val="24"/>
                <w:szCs w:val="24"/>
                <w:vertAlign w:val="baseline"/>
              </w:rPr>
            </w:pPr>
          </w:p>
        </w:tc>
        <w:tc>
          <w:tcPr>
            <w:tcW w:w="954" w:type="dxa"/>
            <w:noWrap w:val="0"/>
            <w:vAlign w:val="center"/>
          </w:tcPr>
          <w:p>
            <w:pPr>
              <w:jc w:val="center"/>
              <w:rPr>
                <w:rFonts w:hint="eastAsia" w:ascii="宋体" w:hAnsi="宋体" w:eastAsia="宋体" w:cs="宋体"/>
                <w:color w:val="000000"/>
                <w:sz w:val="24"/>
                <w:szCs w:val="24"/>
                <w:vertAlign w:val="baseline"/>
              </w:rPr>
            </w:pPr>
          </w:p>
        </w:tc>
        <w:tc>
          <w:tcPr>
            <w:tcW w:w="913"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07" w:type="dxa"/>
            <w:noWrap w:val="0"/>
            <w:vAlign w:val="center"/>
          </w:tcPr>
          <w:p>
            <w:pPr>
              <w:jc w:val="center"/>
              <w:rPr>
                <w:rFonts w:hint="eastAsia" w:ascii="宋体" w:hAnsi="宋体" w:eastAsia="宋体" w:cs="宋体"/>
                <w:color w:val="000000"/>
                <w:sz w:val="24"/>
                <w:szCs w:val="24"/>
                <w:vertAlign w:val="baseline"/>
              </w:rPr>
            </w:pPr>
          </w:p>
        </w:tc>
        <w:tc>
          <w:tcPr>
            <w:tcW w:w="1317" w:type="dxa"/>
            <w:noWrap w:val="0"/>
            <w:vAlign w:val="center"/>
          </w:tcPr>
          <w:p>
            <w:pPr>
              <w:jc w:val="center"/>
              <w:rPr>
                <w:rFonts w:hint="eastAsia" w:ascii="宋体" w:hAnsi="宋体" w:eastAsia="宋体" w:cs="宋体"/>
                <w:color w:val="000000"/>
                <w:sz w:val="24"/>
                <w:szCs w:val="24"/>
                <w:vertAlign w:val="baseline"/>
              </w:rPr>
            </w:pPr>
          </w:p>
        </w:tc>
        <w:tc>
          <w:tcPr>
            <w:tcW w:w="1482" w:type="dxa"/>
            <w:noWrap w:val="0"/>
            <w:vAlign w:val="center"/>
          </w:tcPr>
          <w:p>
            <w:pPr>
              <w:jc w:val="center"/>
              <w:rPr>
                <w:rFonts w:hint="eastAsia" w:ascii="宋体" w:hAnsi="宋体" w:eastAsia="宋体" w:cs="宋体"/>
                <w:color w:val="000000"/>
                <w:sz w:val="24"/>
                <w:szCs w:val="24"/>
                <w:vertAlign w:val="baseline"/>
              </w:rPr>
            </w:pPr>
          </w:p>
        </w:tc>
        <w:tc>
          <w:tcPr>
            <w:tcW w:w="954" w:type="dxa"/>
            <w:noWrap w:val="0"/>
            <w:vAlign w:val="center"/>
          </w:tcPr>
          <w:p>
            <w:pPr>
              <w:jc w:val="center"/>
              <w:rPr>
                <w:rFonts w:hint="eastAsia" w:ascii="宋体" w:hAnsi="宋体" w:eastAsia="宋体" w:cs="宋体"/>
                <w:color w:val="000000"/>
                <w:sz w:val="24"/>
                <w:szCs w:val="24"/>
                <w:vertAlign w:val="baseline"/>
              </w:rPr>
            </w:pPr>
          </w:p>
        </w:tc>
        <w:tc>
          <w:tcPr>
            <w:tcW w:w="913"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c>
          <w:tcPr>
            <w:tcW w:w="996" w:type="dxa"/>
            <w:noWrap w:val="0"/>
            <w:vAlign w:val="center"/>
          </w:tcPr>
          <w:p>
            <w:pPr>
              <w:jc w:val="center"/>
              <w:rPr>
                <w:rFonts w:hint="eastAsia" w:ascii="宋体" w:hAnsi="宋体" w:eastAsia="宋体" w:cs="宋体"/>
                <w:color w:val="000000"/>
                <w:sz w:val="24"/>
                <w:szCs w:val="24"/>
                <w:vertAlign w:val="baseline"/>
              </w:rPr>
            </w:pPr>
          </w:p>
        </w:tc>
      </w:tr>
    </w:tbl>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keepNext w:val="0"/>
        <w:keepLines w:val="0"/>
        <w:pageBreakBefore w:val="0"/>
        <w:widowControl w:val="0"/>
        <w:kinsoku/>
        <w:wordWrap/>
        <w:overflowPunct/>
        <w:topLinePunct w:val="0"/>
        <w:autoSpaceDE/>
        <w:autoSpaceDN/>
        <w:bidi w:val="0"/>
        <w:adjustRightInd w:val="0"/>
        <w:snapToGrid/>
        <w:spacing w:before="954" w:beforeLines="150" w:after="0" w:line="600" w:lineRule="exact"/>
        <w:textAlignment w:val="auto"/>
        <w:rPr>
          <w:rFonts w:hint="eastAsia"/>
        </w:rPr>
      </w:pPr>
    </w:p>
    <w:p>
      <w:pPr>
        <w:pStyle w:val="3"/>
        <w:rPr>
          <w:rFonts w:hint="eastAsia"/>
        </w:rPr>
      </w:pPr>
    </w:p>
    <w:tbl>
      <w:tblPr>
        <w:tblStyle w:val="11"/>
        <w:tblpPr w:leftFromText="180" w:rightFromText="180" w:vertAnchor="text" w:horzAnchor="page" w:tblpX="1705" w:tblpY="159"/>
        <w:tblOverlap w:val="never"/>
        <w:tblW w:w="906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noWrap w:val="0"/>
            <w:vAlign w:val="center"/>
          </w:tcPr>
          <w:p>
            <w:pPr>
              <w:keepNext w:val="0"/>
              <w:keepLines w:val="0"/>
              <w:pageBreakBefore w:val="0"/>
              <w:widowControl w:val="0"/>
              <w:kinsoku/>
              <w:wordWrap/>
              <w:overflowPunct/>
              <w:topLinePunct w:val="0"/>
              <w:autoSpaceDE/>
              <w:autoSpaceDN/>
              <w:bidi w:val="0"/>
              <w:adjustRightInd/>
              <w:snapToGrid/>
              <w:spacing w:after="129" w:afterLines="20" w:line="600" w:lineRule="exact"/>
              <w:ind w:right="0" w:rightChars="0"/>
              <w:jc w:val="center"/>
              <w:textAlignment w:val="auto"/>
              <w:rPr>
                <w:rFonts w:hint="eastAsia" w:ascii="仿宋_GB2312" w:eastAsia="仿宋_GB2312"/>
                <w:sz w:val="28"/>
                <w:szCs w:val="28"/>
              </w:rPr>
            </w:pPr>
            <w:r>
              <w:rPr>
                <w:rFonts w:hint="eastAsia" w:ascii="仿宋_GB2312" w:hAnsi="仿宋" w:eastAsia="仿宋_GB2312"/>
                <w:spacing w:val="0"/>
                <w:w w:val="100"/>
                <w:sz w:val="28"/>
                <w:szCs w:val="28"/>
                <w:lang w:eastAsia="zh-CN"/>
              </w:rPr>
              <w:t>莆田市人力资源和社会保障局办公室</w:t>
            </w:r>
            <w:r>
              <w:rPr>
                <w:rFonts w:hint="eastAsia" w:ascii="仿宋_GB2312" w:hAnsi="仿宋" w:eastAsia="仿宋_GB2312"/>
                <w:spacing w:val="-17"/>
                <w:sz w:val="28"/>
                <w:szCs w:val="28"/>
                <w:lang w:val="en-US" w:eastAsia="zh-CN"/>
              </w:rPr>
              <w:t xml:space="preserve">     </w:t>
            </w:r>
            <w:r>
              <w:rPr>
                <w:rFonts w:hint="eastAsia" w:ascii="仿宋_GB2312" w:hAnsi="仿宋"/>
                <w:sz w:val="28"/>
                <w:szCs w:val="28"/>
                <w:lang w:val="en-US" w:eastAsia="zh-CN"/>
              </w:rPr>
              <w:t xml:space="preserve"> </w:t>
            </w:r>
            <w:r>
              <w:rPr>
                <w:rFonts w:ascii="仿宋_GB2312" w:hAnsi="仿宋" w:eastAsia="仿宋_GB2312"/>
                <w:sz w:val="28"/>
                <w:szCs w:val="28"/>
              </w:rPr>
              <w:t>20</w:t>
            </w:r>
            <w:r>
              <w:rPr>
                <w:rFonts w:hint="eastAsia" w:ascii="仿宋_GB2312" w:hAnsi="仿宋" w:eastAsia="仿宋_GB2312"/>
                <w:sz w:val="28"/>
                <w:szCs w:val="28"/>
                <w:lang w:val="en-US" w:eastAsia="zh-CN"/>
              </w:rPr>
              <w:t>22</w:t>
            </w:r>
            <w:r>
              <w:rPr>
                <w:rFonts w:ascii="仿宋_GB2312" w:hAnsi="仿宋" w:eastAsia="仿宋_GB2312"/>
                <w:sz w:val="28"/>
                <w:szCs w:val="28"/>
              </w:rPr>
              <w:t>年</w:t>
            </w:r>
            <w:r>
              <w:rPr>
                <w:rFonts w:hint="eastAsia" w:ascii="仿宋_GB2312" w:hAnsi="仿宋"/>
                <w:sz w:val="28"/>
                <w:szCs w:val="28"/>
                <w:lang w:val="en-US" w:eastAsia="zh-CN"/>
              </w:rPr>
              <w:t>8</w:t>
            </w:r>
            <w:r>
              <w:rPr>
                <w:rFonts w:ascii="仿宋_GB2312" w:hAnsi="仿宋" w:eastAsia="仿宋_GB2312"/>
                <w:sz w:val="28"/>
                <w:szCs w:val="28"/>
              </w:rPr>
              <w:t>月</w:t>
            </w:r>
            <w:r>
              <w:rPr>
                <w:rFonts w:hint="eastAsia" w:ascii="仿宋_GB2312" w:hAnsi="仿宋"/>
                <w:sz w:val="28"/>
                <w:szCs w:val="28"/>
                <w:lang w:val="en-US" w:eastAsia="zh-CN"/>
              </w:rPr>
              <w:t>9</w:t>
            </w:r>
            <w:r>
              <w:rPr>
                <w:rFonts w:ascii="仿宋_GB2312" w:hAnsi="仿宋" w:eastAsia="仿宋_GB2312"/>
                <w:sz w:val="28"/>
                <w:szCs w:val="28"/>
              </w:rPr>
              <w:t>日</w:t>
            </w:r>
            <w:r>
              <w:rPr>
                <w:rFonts w:hint="eastAsia" w:ascii="仿宋_GB2312" w:hAnsi="仿宋" w:eastAsia="仿宋_GB2312"/>
                <w:sz w:val="28"/>
                <w:szCs w:val="28"/>
              </w:rPr>
              <w:t>印发</w:t>
            </w:r>
          </w:p>
        </w:tc>
      </w:tr>
    </w:tbl>
    <w:p>
      <w:pPr>
        <w:pStyle w:val="3"/>
        <w:rPr>
          <w:rFonts w:hint="eastAsia"/>
        </w:rPr>
      </w:pPr>
    </w:p>
    <w:sectPr>
      <w:footerReference r:id="rId5" w:type="default"/>
      <w:footerReference r:id="rId6" w:type="even"/>
      <w:pgSz w:w="11906" w:h="16838"/>
      <w:pgMar w:top="2098" w:right="1587" w:bottom="1984" w:left="1587" w:header="851" w:footer="992" w:gutter="0"/>
      <w:pgNumType w:fmt="decimal" w:start="1"/>
      <w:cols w:space="720" w:num="1"/>
      <w:rtlGutter w:val="0"/>
      <w:docGrid w:type="linesAndChars" w:linePitch="634" w:charSpace="3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9"/>
  <w:drawingGridVerticalSpacing w:val="298"/>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MjZiMTBiMjE4MDBlMmYxNDNhOGE3YmMwM2ZjMzMifQ=="/>
  </w:docVars>
  <w:rsids>
    <w:rsidRoot w:val="00172A27"/>
    <w:rsid w:val="000278B5"/>
    <w:rsid w:val="000345E5"/>
    <w:rsid w:val="00045C3E"/>
    <w:rsid w:val="00062552"/>
    <w:rsid w:val="000D3377"/>
    <w:rsid w:val="000F40BE"/>
    <w:rsid w:val="00101F11"/>
    <w:rsid w:val="00111983"/>
    <w:rsid w:val="001863D2"/>
    <w:rsid w:val="0019152D"/>
    <w:rsid w:val="00193B29"/>
    <w:rsid w:val="001C1CDA"/>
    <w:rsid w:val="001C3A70"/>
    <w:rsid w:val="001C47D5"/>
    <w:rsid w:val="001D541E"/>
    <w:rsid w:val="001F310D"/>
    <w:rsid w:val="0020388C"/>
    <w:rsid w:val="00217053"/>
    <w:rsid w:val="002205B8"/>
    <w:rsid w:val="00224CC5"/>
    <w:rsid w:val="00235566"/>
    <w:rsid w:val="0024216A"/>
    <w:rsid w:val="00263DE1"/>
    <w:rsid w:val="002764C3"/>
    <w:rsid w:val="00281FBA"/>
    <w:rsid w:val="002905F1"/>
    <w:rsid w:val="002965CA"/>
    <w:rsid w:val="002B37CC"/>
    <w:rsid w:val="002D3290"/>
    <w:rsid w:val="002E2E32"/>
    <w:rsid w:val="002E31DA"/>
    <w:rsid w:val="002F76ED"/>
    <w:rsid w:val="00303B9F"/>
    <w:rsid w:val="00367648"/>
    <w:rsid w:val="003753DD"/>
    <w:rsid w:val="003770B9"/>
    <w:rsid w:val="00380BB3"/>
    <w:rsid w:val="0038432B"/>
    <w:rsid w:val="003930D2"/>
    <w:rsid w:val="003B4076"/>
    <w:rsid w:val="003C5BDC"/>
    <w:rsid w:val="00401F13"/>
    <w:rsid w:val="00406579"/>
    <w:rsid w:val="0041531D"/>
    <w:rsid w:val="004268AD"/>
    <w:rsid w:val="00431F79"/>
    <w:rsid w:val="00456854"/>
    <w:rsid w:val="0046369E"/>
    <w:rsid w:val="004A08F4"/>
    <w:rsid w:val="004A2443"/>
    <w:rsid w:val="004A555A"/>
    <w:rsid w:val="004A6046"/>
    <w:rsid w:val="004C16BC"/>
    <w:rsid w:val="004E2F02"/>
    <w:rsid w:val="004F1AEC"/>
    <w:rsid w:val="00502FEB"/>
    <w:rsid w:val="00513E1E"/>
    <w:rsid w:val="00546076"/>
    <w:rsid w:val="00561D65"/>
    <w:rsid w:val="00562652"/>
    <w:rsid w:val="005635EF"/>
    <w:rsid w:val="00571279"/>
    <w:rsid w:val="00593267"/>
    <w:rsid w:val="005B7183"/>
    <w:rsid w:val="005C39E5"/>
    <w:rsid w:val="005C6DD1"/>
    <w:rsid w:val="005D2C9B"/>
    <w:rsid w:val="005E0354"/>
    <w:rsid w:val="005F2C2B"/>
    <w:rsid w:val="006118B6"/>
    <w:rsid w:val="00624403"/>
    <w:rsid w:val="0063047F"/>
    <w:rsid w:val="0064355E"/>
    <w:rsid w:val="00662094"/>
    <w:rsid w:val="0067125F"/>
    <w:rsid w:val="0069331E"/>
    <w:rsid w:val="006A678A"/>
    <w:rsid w:val="006E3166"/>
    <w:rsid w:val="006F7C9A"/>
    <w:rsid w:val="007053EC"/>
    <w:rsid w:val="00736FA1"/>
    <w:rsid w:val="00742DB7"/>
    <w:rsid w:val="00755AB5"/>
    <w:rsid w:val="00776DFC"/>
    <w:rsid w:val="00780B0D"/>
    <w:rsid w:val="00790277"/>
    <w:rsid w:val="007C6BF7"/>
    <w:rsid w:val="00802E83"/>
    <w:rsid w:val="0080631B"/>
    <w:rsid w:val="00812AF7"/>
    <w:rsid w:val="00822B2B"/>
    <w:rsid w:val="00824A89"/>
    <w:rsid w:val="00834E4B"/>
    <w:rsid w:val="008432E6"/>
    <w:rsid w:val="0089172D"/>
    <w:rsid w:val="008B50F8"/>
    <w:rsid w:val="008F5C7D"/>
    <w:rsid w:val="009010D2"/>
    <w:rsid w:val="0091651E"/>
    <w:rsid w:val="00935CC2"/>
    <w:rsid w:val="009424A0"/>
    <w:rsid w:val="0094483B"/>
    <w:rsid w:val="00955632"/>
    <w:rsid w:val="009600AB"/>
    <w:rsid w:val="00961138"/>
    <w:rsid w:val="009712F8"/>
    <w:rsid w:val="00993332"/>
    <w:rsid w:val="00994943"/>
    <w:rsid w:val="009972C7"/>
    <w:rsid w:val="009A39C2"/>
    <w:rsid w:val="009B4E72"/>
    <w:rsid w:val="009C313B"/>
    <w:rsid w:val="009E1216"/>
    <w:rsid w:val="009F0B68"/>
    <w:rsid w:val="00A01134"/>
    <w:rsid w:val="00A04975"/>
    <w:rsid w:val="00A168D6"/>
    <w:rsid w:val="00A515DF"/>
    <w:rsid w:val="00A63460"/>
    <w:rsid w:val="00A83618"/>
    <w:rsid w:val="00A96AA2"/>
    <w:rsid w:val="00AC4F06"/>
    <w:rsid w:val="00AD3358"/>
    <w:rsid w:val="00AF2B39"/>
    <w:rsid w:val="00AF5210"/>
    <w:rsid w:val="00AF69B8"/>
    <w:rsid w:val="00B029E6"/>
    <w:rsid w:val="00B03A8B"/>
    <w:rsid w:val="00B071C7"/>
    <w:rsid w:val="00B47F5A"/>
    <w:rsid w:val="00B76DE8"/>
    <w:rsid w:val="00B8720E"/>
    <w:rsid w:val="00BB145A"/>
    <w:rsid w:val="00BC0EDB"/>
    <w:rsid w:val="00BD0D47"/>
    <w:rsid w:val="00BD0EAD"/>
    <w:rsid w:val="00BE2CCD"/>
    <w:rsid w:val="00BF32D7"/>
    <w:rsid w:val="00C30E86"/>
    <w:rsid w:val="00C3765D"/>
    <w:rsid w:val="00C92A43"/>
    <w:rsid w:val="00CC050B"/>
    <w:rsid w:val="00CC663C"/>
    <w:rsid w:val="00D131CB"/>
    <w:rsid w:val="00D571E2"/>
    <w:rsid w:val="00D654D2"/>
    <w:rsid w:val="00D733B4"/>
    <w:rsid w:val="00D758D8"/>
    <w:rsid w:val="00D90A0B"/>
    <w:rsid w:val="00DB68A4"/>
    <w:rsid w:val="00DC5810"/>
    <w:rsid w:val="00DD0BAE"/>
    <w:rsid w:val="00DD42C3"/>
    <w:rsid w:val="00DD4A14"/>
    <w:rsid w:val="00DE6926"/>
    <w:rsid w:val="00E0305F"/>
    <w:rsid w:val="00E16F27"/>
    <w:rsid w:val="00E24940"/>
    <w:rsid w:val="00E26069"/>
    <w:rsid w:val="00E338D8"/>
    <w:rsid w:val="00E44BEF"/>
    <w:rsid w:val="00E61CCA"/>
    <w:rsid w:val="00E85D27"/>
    <w:rsid w:val="00EB1439"/>
    <w:rsid w:val="00EB4AF8"/>
    <w:rsid w:val="00EC5E25"/>
    <w:rsid w:val="00ED014B"/>
    <w:rsid w:val="00EF2133"/>
    <w:rsid w:val="00EF59E3"/>
    <w:rsid w:val="00F461F4"/>
    <w:rsid w:val="00F6340C"/>
    <w:rsid w:val="00F724F6"/>
    <w:rsid w:val="00F75A76"/>
    <w:rsid w:val="00FA7896"/>
    <w:rsid w:val="00FB4AE3"/>
    <w:rsid w:val="00FC48E7"/>
    <w:rsid w:val="00FE5F4E"/>
    <w:rsid w:val="01AE35E3"/>
    <w:rsid w:val="02207E80"/>
    <w:rsid w:val="02DE32D9"/>
    <w:rsid w:val="041F7556"/>
    <w:rsid w:val="07284177"/>
    <w:rsid w:val="073A390C"/>
    <w:rsid w:val="07901481"/>
    <w:rsid w:val="080D38FF"/>
    <w:rsid w:val="081F1F11"/>
    <w:rsid w:val="08F03FD7"/>
    <w:rsid w:val="096679EF"/>
    <w:rsid w:val="0AE10DF2"/>
    <w:rsid w:val="0C3840EE"/>
    <w:rsid w:val="0C771211"/>
    <w:rsid w:val="0CA80FD3"/>
    <w:rsid w:val="0CB66BDD"/>
    <w:rsid w:val="0EF87ACC"/>
    <w:rsid w:val="0F4F4128"/>
    <w:rsid w:val="0FB1563C"/>
    <w:rsid w:val="109731D4"/>
    <w:rsid w:val="11B215B5"/>
    <w:rsid w:val="136B68F8"/>
    <w:rsid w:val="14130113"/>
    <w:rsid w:val="148E4B74"/>
    <w:rsid w:val="14A25360"/>
    <w:rsid w:val="14DE6806"/>
    <w:rsid w:val="165F1C73"/>
    <w:rsid w:val="172C765A"/>
    <w:rsid w:val="194456F3"/>
    <w:rsid w:val="1AB55333"/>
    <w:rsid w:val="1BE74940"/>
    <w:rsid w:val="1D292FBF"/>
    <w:rsid w:val="1D795758"/>
    <w:rsid w:val="1E196872"/>
    <w:rsid w:val="1EB52E4D"/>
    <w:rsid w:val="1F7E6CE8"/>
    <w:rsid w:val="20F77D7E"/>
    <w:rsid w:val="21545046"/>
    <w:rsid w:val="222275A5"/>
    <w:rsid w:val="245061C8"/>
    <w:rsid w:val="24963553"/>
    <w:rsid w:val="251E4AB5"/>
    <w:rsid w:val="26CE0E5F"/>
    <w:rsid w:val="275019BB"/>
    <w:rsid w:val="27DC2FEB"/>
    <w:rsid w:val="29CB53E8"/>
    <w:rsid w:val="2AE62FED"/>
    <w:rsid w:val="2B500C0C"/>
    <w:rsid w:val="2C0C1B11"/>
    <w:rsid w:val="2F7F368E"/>
    <w:rsid w:val="2FC71152"/>
    <w:rsid w:val="3003693E"/>
    <w:rsid w:val="306A173A"/>
    <w:rsid w:val="334B5E9B"/>
    <w:rsid w:val="33940A56"/>
    <w:rsid w:val="33CD13C2"/>
    <w:rsid w:val="349E0876"/>
    <w:rsid w:val="356805C1"/>
    <w:rsid w:val="35F30C9A"/>
    <w:rsid w:val="36894AF9"/>
    <w:rsid w:val="37213ADB"/>
    <w:rsid w:val="37920273"/>
    <w:rsid w:val="37C33988"/>
    <w:rsid w:val="38B45FF5"/>
    <w:rsid w:val="38F56BFA"/>
    <w:rsid w:val="39247339"/>
    <w:rsid w:val="3ACE4152"/>
    <w:rsid w:val="3AE32A73"/>
    <w:rsid w:val="3B8A6B3C"/>
    <w:rsid w:val="3D072896"/>
    <w:rsid w:val="3DC41C5C"/>
    <w:rsid w:val="3F414098"/>
    <w:rsid w:val="412B4DEB"/>
    <w:rsid w:val="41884825"/>
    <w:rsid w:val="49A1419C"/>
    <w:rsid w:val="4A8D440C"/>
    <w:rsid w:val="4ABB3BB8"/>
    <w:rsid w:val="4AEF6B1D"/>
    <w:rsid w:val="4C1525F7"/>
    <w:rsid w:val="4C4A4CFA"/>
    <w:rsid w:val="4CAD1986"/>
    <w:rsid w:val="4E6F5D2A"/>
    <w:rsid w:val="4E813BC9"/>
    <w:rsid w:val="506B1B9A"/>
    <w:rsid w:val="50AE5C2B"/>
    <w:rsid w:val="50BD5C79"/>
    <w:rsid w:val="50C70F07"/>
    <w:rsid w:val="52C118D0"/>
    <w:rsid w:val="531C17AD"/>
    <w:rsid w:val="55DA56B7"/>
    <w:rsid w:val="56C16695"/>
    <w:rsid w:val="5854442C"/>
    <w:rsid w:val="5ABE4D6C"/>
    <w:rsid w:val="5C50185E"/>
    <w:rsid w:val="5D0F3701"/>
    <w:rsid w:val="5F630317"/>
    <w:rsid w:val="5FB627B2"/>
    <w:rsid w:val="5FBE7482"/>
    <w:rsid w:val="5FF674E6"/>
    <w:rsid w:val="609E1B2F"/>
    <w:rsid w:val="61035957"/>
    <w:rsid w:val="63851C9A"/>
    <w:rsid w:val="664E323F"/>
    <w:rsid w:val="66754AB9"/>
    <w:rsid w:val="67BB5D64"/>
    <w:rsid w:val="68674625"/>
    <w:rsid w:val="68B66691"/>
    <w:rsid w:val="69451F21"/>
    <w:rsid w:val="69531F30"/>
    <w:rsid w:val="6A4E454E"/>
    <w:rsid w:val="6A5F376B"/>
    <w:rsid w:val="6A7C11A5"/>
    <w:rsid w:val="6AC917E1"/>
    <w:rsid w:val="6BBE4A97"/>
    <w:rsid w:val="6BCD5391"/>
    <w:rsid w:val="6C1D43CB"/>
    <w:rsid w:val="6EDC2331"/>
    <w:rsid w:val="6F0B0E92"/>
    <w:rsid w:val="6F5A6BB6"/>
    <w:rsid w:val="70AC607B"/>
    <w:rsid w:val="715053B2"/>
    <w:rsid w:val="72A21209"/>
    <w:rsid w:val="72C74706"/>
    <w:rsid w:val="733A1FC6"/>
    <w:rsid w:val="74A65578"/>
    <w:rsid w:val="75224F5C"/>
    <w:rsid w:val="75513D03"/>
    <w:rsid w:val="78050CE8"/>
    <w:rsid w:val="78D11625"/>
    <w:rsid w:val="79016DEE"/>
    <w:rsid w:val="793E2842"/>
    <w:rsid w:val="7AE5674A"/>
    <w:rsid w:val="7C121D79"/>
    <w:rsid w:val="7DAC71F0"/>
    <w:rsid w:val="7DF7A43C"/>
    <w:rsid w:val="9FFB95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link w:val="14"/>
    <w:uiPriority w:val="0"/>
    <w:rPr>
      <w:rFonts w:ascii="Tahoma" w:hAnsi="Tahoma" w:eastAsia="宋体" w:cs="Tahoma"/>
      <w:sz w:val="24"/>
    </w:rPr>
  </w:style>
  <w:style w:type="table" w:default="1" w:styleId="11">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w:basedOn w:val="3"/>
    <w:qFormat/>
    <w:uiPriority w:val="0"/>
    <w:pPr>
      <w:tabs>
        <w:tab w:val="left" w:pos="6400"/>
      </w:tabs>
      <w:ind w:firstLine="420" w:firstLineChars="100"/>
    </w:pPr>
    <w:rPr>
      <w:rFonts w:ascii="Calibri" w:hAnsi="Calibri" w:eastAsia="宋体"/>
      <w:kern w:val="0"/>
      <w:sz w:val="20"/>
      <w:szCs w:val="20"/>
    </w:rPr>
  </w:style>
  <w:style w:type="paragraph" w:styleId="3">
    <w:name w:val="Body Text"/>
    <w:basedOn w:val="1"/>
    <w:uiPriority w:val="0"/>
    <w:pPr>
      <w:adjustRightInd w:val="0"/>
      <w:spacing w:after="120" w:afterLines="0" w:line="312" w:lineRule="atLeast"/>
    </w:pPr>
    <w:rPr>
      <w:rFonts w:ascii="Times New Roman" w:hAnsi="Times New Roman" w:eastAsia="宋体" w:cs="Times New Roman"/>
      <w:kern w:val="0"/>
    </w:rPr>
  </w:style>
  <w:style w:type="paragraph" w:styleId="4">
    <w:name w:val="annotation text"/>
    <w:basedOn w:val="1"/>
    <w:uiPriority w:val="0"/>
    <w:pPr>
      <w:jc w:val="left"/>
    </w:pPr>
    <w:rPr>
      <w:rFonts w:ascii="Times New Roman" w:hAnsi="Times New Roman" w:eastAsia="宋体" w:cs="Times New Roman"/>
    </w:rPr>
  </w:style>
  <w:style w:type="paragraph" w:styleId="5">
    <w:name w:val="Plain Text"/>
    <w:basedOn w:val="1"/>
    <w:uiPriority w:val="0"/>
    <w:rPr>
      <w:rFonts w:ascii="宋体" w:hAnsi="Courier New" w:eastAsia="宋体" w:cs="Courier New"/>
      <w:szCs w:val="21"/>
    </w:rPr>
  </w:style>
  <w:style w:type="paragraph" w:styleId="6">
    <w:name w:val="Date"/>
    <w:basedOn w:val="1"/>
    <w:next w:val="1"/>
    <w:uiPriority w:val="0"/>
    <w:rPr>
      <w:rFonts w:ascii="仿宋_GB2312" w:hAnsi="Times New Roman" w:eastAsia="仿宋_GB2312" w:cs="Times New Roman"/>
      <w:sz w:val="32"/>
    </w:rPr>
  </w:style>
  <w:style w:type="paragraph" w:styleId="7">
    <w:name w:val="Balloon Text"/>
    <w:basedOn w:val="1"/>
    <w:uiPriority w:val="0"/>
    <w:rPr>
      <w:rFonts w:ascii="Times New Roman" w:hAnsi="Times New Roman" w:eastAsia="宋体" w:cs="Times New Roman"/>
      <w:sz w:val="18"/>
      <w:szCs w:val="18"/>
    </w:rPr>
  </w:style>
  <w:style w:type="paragraph" w:styleId="8">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table" w:styleId="12">
    <w:name w:val="Table Grid"/>
    <w:basedOn w:val="11"/>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Char Char Char Char"/>
    <w:basedOn w:val="1"/>
    <w:link w:val="13"/>
    <w:uiPriority w:val="0"/>
    <w:rPr>
      <w:rFonts w:ascii="Tahoma" w:hAnsi="Tahoma" w:eastAsia="宋体" w:cs="Tahoma"/>
      <w:sz w:val="24"/>
    </w:rPr>
  </w:style>
  <w:style w:type="character" w:styleId="15">
    <w:name w:val="page number"/>
    <w:basedOn w:val="13"/>
    <w:uiPriority w:val="0"/>
    <w:rPr>
      <w:rFonts w:ascii="Times New Roman" w:hAnsi="Times New Roman" w:eastAsia="宋体" w:cs="Times New Roman"/>
    </w:rPr>
  </w:style>
  <w:style w:type="character" w:styleId="16">
    <w:name w:val="Hyperlink"/>
    <w:basedOn w:val="13"/>
    <w:uiPriority w:val="0"/>
    <w:rPr>
      <w:rFonts w:ascii="Times New Roman" w:hAnsi="Times New Roman" w:eastAsia="宋体" w:cs="Times New Roman"/>
      <w:color w:val="0000FF"/>
      <w:u w:val="single"/>
    </w:rPr>
  </w:style>
  <w:style w:type="paragraph" w:customStyle="1" w:styleId="17">
    <w:name w:val="Index6"/>
    <w:basedOn w:val="1"/>
    <w:next w:val="1"/>
    <w:uiPriority w:val="0"/>
    <w:pPr>
      <w:ind w:left="2100"/>
      <w:jc w:val="both"/>
      <w:textAlignment w:val="baseline"/>
    </w:pPr>
    <w:rPr>
      <w:rFonts w:ascii="Times New Roman" w:hAnsi="Times New Roman" w:eastAsia="宋体" w:cs="Times New Roman"/>
    </w:rPr>
  </w:style>
  <w:style w:type="paragraph" w:customStyle="1" w:styleId="18">
    <w:name w:val="BodyTextIndent2"/>
    <w:basedOn w:val="1"/>
    <w:next w:val="17"/>
    <w:uiPriority w:val="0"/>
    <w:pPr>
      <w:spacing w:after="120" w:afterLines="0" w:line="480" w:lineRule="auto"/>
      <w:ind w:left="200" w:leftChars="200"/>
      <w:jc w:val="both"/>
      <w:textAlignment w:val="baseline"/>
    </w:pPr>
    <w:rPr>
      <w:rFonts w:ascii="Times New Roman" w:hAnsi="Times New Roman" w:eastAsia="宋体" w:cs="Times New Roman"/>
      <w:kern w:val="2"/>
      <w:sz w:val="21"/>
      <w:szCs w:val="24"/>
      <w:lang w:val="en-US" w:eastAsia="zh-CN" w:bidi="ar-SA"/>
    </w:rPr>
  </w:style>
  <w:style w:type="character" w:customStyle="1" w:styleId="19">
    <w:name w:val="l-btn-icon-right"/>
    <w:basedOn w:val="13"/>
    <w:uiPriority w:val="0"/>
    <w:rPr>
      <w:rFonts w:ascii="Times New Roman" w:hAnsi="Times New Roman" w:eastAsia="宋体" w:cs="Times New Roman"/>
    </w:rPr>
  </w:style>
  <w:style w:type="character" w:customStyle="1" w:styleId="20">
    <w:name w:val="l-btn-left5"/>
    <w:basedOn w:val="13"/>
    <w:uiPriority w:val="0"/>
    <w:rPr>
      <w:rFonts w:ascii="Times New Roman" w:hAnsi="Times New Roman" w:eastAsia="宋体" w:cs="Times New Roman"/>
    </w:rPr>
  </w:style>
  <w:style w:type="character" w:customStyle="1" w:styleId="21">
    <w:name w:val="l-btn-left1"/>
    <w:basedOn w:val="13"/>
    <w:uiPriority w:val="0"/>
    <w:rPr>
      <w:rFonts w:ascii="Times New Roman" w:hAnsi="Times New Roman" w:eastAsia="宋体" w:cs="Times New Roman"/>
    </w:rPr>
  </w:style>
  <w:style w:type="character" w:customStyle="1" w:styleId="22">
    <w:name w:val="l-btn-left"/>
    <w:basedOn w:val="13"/>
    <w:uiPriority w:val="0"/>
    <w:rPr>
      <w:rFonts w:ascii="Times New Roman" w:hAnsi="Times New Roman" w:eastAsia="宋体" w:cs="Times New Roman"/>
    </w:rPr>
  </w:style>
  <w:style w:type="character" w:customStyle="1" w:styleId="23">
    <w:name w:val="l-btn-left3"/>
    <w:basedOn w:val="13"/>
    <w:uiPriority w:val="0"/>
    <w:rPr>
      <w:rFonts w:ascii="Times New Roman" w:hAnsi="Times New Roman" w:eastAsia="宋体" w:cs="Times New Roman"/>
    </w:rPr>
  </w:style>
  <w:style w:type="character" w:customStyle="1" w:styleId="24">
    <w:name w:val="l-btn-left2"/>
    <w:basedOn w:val="13"/>
    <w:uiPriority w:val="0"/>
    <w:rPr>
      <w:rFonts w:ascii="Times New Roman" w:hAnsi="Times New Roman" w:eastAsia="宋体" w:cs="Times New Roman"/>
    </w:rPr>
  </w:style>
  <w:style w:type="character" w:customStyle="1" w:styleId="25">
    <w:name w:val="l-btn-icon-left"/>
    <w:basedOn w:val="13"/>
    <w:uiPriority w:val="0"/>
    <w:rPr>
      <w:rFonts w:ascii="Times New Roman" w:hAnsi="Times New Roman" w:eastAsia="宋体" w:cs="Times New Roman"/>
    </w:rPr>
  </w:style>
  <w:style w:type="character" w:customStyle="1" w:styleId="26">
    <w:name w:val="l-btn-text"/>
    <w:basedOn w:val="13"/>
    <w:uiPriority w:val="0"/>
    <w:rPr>
      <w:rFonts w:ascii="Times New Roman" w:hAnsi="Times New Roman" w:eastAsia="宋体" w:cs="Times New Roman"/>
      <w:vertAlign w:val="baseline"/>
    </w:rPr>
  </w:style>
  <w:style w:type="character" w:customStyle="1" w:styleId="27">
    <w:name w:val="l-btn-empty"/>
    <w:basedOn w:val="13"/>
    <w:uiPriority w:val="0"/>
    <w:rPr>
      <w:rFonts w:ascii="Times New Roman" w:hAnsi="Times New Roman" w:eastAsia="宋体" w:cs="Times New Roman"/>
    </w:rPr>
  </w:style>
  <w:style w:type="character" w:customStyle="1" w:styleId="28">
    <w:name w:val="l-btn-left4"/>
    <w:basedOn w:val="13"/>
    <w:uiPriority w:val="0"/>
    <w:rPr>
      <w:rFonts w:ascii="Times New Roman" w:hAnsi="Times New Roman" w:eastAsia="宋体" w:cs="Times New Roma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RJSOFT</Company>
  <Pages>10</Pages>
  <Words>2398</Words>
  <Characters>2428</Characters>
  <Lines>1</Lines>
  <Paragraphs>1</Paragraphs>
  <TotalTime>2</TotalTime>
  <ScaleCrop>false</ScaleCrop>
  <LinksUpToDate>false</LinksUpToDate>
  <CharactersWithSpaces>2617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2009-03-04T15:39:00Z</dcterms:created>
  <dc:creator>RJeGov</dc:creator>
  <cp:lastModifiedBy>囧tleman</cp:lastModifiedBy>
  <cp:lastPrinted>2022-08-10T01:21:00Z</cp:lastPrinted>
  <dcterms:modified xsi:type="dcterms:W3CDTF">2022-08-10T02:28:33Z</dcterms:modified>
  <dc:title>正文文件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4E6AD4C6E65E425A8CDCF6A6D5985089</vt:lpwstr>
  </property>
</Properties>
</file>