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800" w:firstLine="3520"/>
        <w:jc w:val="both"/>
        <w:textAlignment w:val="auto"/>
        <w:rPr>
          <w:rFonts w:ascii="方正小标宋简体" w:eastAsia="方正小标宋简体" w:cs="方正小标宋简体" w:hint="eastAsia"/>
          <w:b w:val="0"/>
          <w:bCs w:val="0"/>
          <w:sz w:val="44"/>
          <w:szCs w:val="44"/>
          <w:lang w:val="en-US" w:eastAsia="zh-CN"/>
        </w:rPr>
      </w:pPr>
      <w:r>
        <w:rPr>
          <w:rFonts w:ascii="方正小标宋简体" w:eastAsia="方正小标宋简体" w:cs="方正小标宋简体" w:hint="eastAsia"/>
          <w:b w:val="0"/>
          <w:bCs w:val="0"/>
          <w:sz w:val="44"/>
          <w:szCs w:val="44"/>
          <w:lang w:val="en-US" w:eastAsia="zh-CN"/>
        </w:rPr>
        <w:t>询 价 公 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我局拟开展“家门口”就业线上服务采购项目（具体项目概况详见附件1</w:t>
      </w:r>
      <w:r>
        <w:rPr>
          <w:rFonts w:ascii="仿宋_GB2312" w:eastAsia="仿宋_GB2312" w:cs="仿宋_GB2312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eastAsia="zh-CN"/>
        </w:rPr>
        <w:t>），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欢迎有意向的公司根据采购需求参加报价，并将报价单及贵公司的资质证明材料送达我局信息中心。我局将对参与报价情况综合评判后，根据政府采购有关规定，开展“家门口”就业线上服务采购项目公开招标。询价截止至2025年9月1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日下午五点半。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jc w:val="both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联系人：周女士，联系电话：2850873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jc w:val="both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联系地址：莆田市城厢区文献西路田尾圆圈930号金保大楼4层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附件：1.采购需求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2.报价单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 xml:space="preserve">                    莆田市人力资源和社会保障局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 xml:space="preserve">                               2025年9月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" w:eastAsia="仿宋" w:cs="仿宋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  <w:sectPr>
          <w:footerReference w:type="default" r:id="rId2"/>
          <w:pgSz w:w="11906" w:h="16838"/>
          <w:pgMar w:top="2098" w:right="1417" w:bottom="1587" w:left="1587" w:header="851" w:footer="1361" w:gutter="0"/>
          <w:pgNumType w:fmt="numberInDash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cs="黑体" w:hint="eastAsia"/>
          <w:sz w:val="32"/>
          <w:szCs w:val="32"/>
          <w:lang w:val="en-US" w:eastAsia="zh-CN"/>
        </w:rPr>
      </w:pPr>
      <w:r>
        <w:rPr>
          <w:rFonts w:ascii="黑体" w:eastAsia="黑体" w:cs="黑体" w:hint="eastAsia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cs="方正小标宋简体" w:hint="eastAsia"/>
          <w:b w:val="0"/>
          <w:bCs w:val="0"/>
          <w:sz w:val="44"/>
          <w:szCs w:val="44"/>
          <w:lang w:val="en-US" w:eastAsia="zh-CN"/>
        </w:rPr>
      </w:pPr>
      <w:r>
        <w:rPr>
          <w:rFonts w:ascii="方正小标宋简体" w:eastAsia="方正小标宋简体" w:cs="方正小标宋简体" w:hint="eastAsia"/>
          <w:b w:val="0"/>
          <w:bCs w:val="0"/>
          <w:sz w:val="44"/>
          <w:szCs w:val="44"/>
          <w:lang w:val="en-US" w:eastAsia="zh-CN"/>
        </w:rPr>
        <w:t>采购需求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1"/>
        <w:textAlignment w:val="auto"/>
        <w:rPr>
          <w:rFonts w:ascii="仿宋" w:eastAsia="仿宋" w:cs="仿宋" w:hint="eastAsia"/>
          <w:color w:val="auto"/>
          <w:sz w:val="32"/>
          <w:szCs w:val="32"/>
          <w:lang w:val="en-US" w:eastAsia="zh-CN"/>
          <w:highlight w:val="auto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1"/>
        <w:textAlignment w:val="auto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  <w:highlight w:val="auto"/>
        </w:rPr>
        <w:t>本次采购的家门口就业服务站线上平台服务，采购服务期3年，主要提供实现求职方、中介方、雇主方实现智能撮合、全链保障、闭环监管、决策支撑、多端覆盖和系统对接等功能，让家门口就业服务站更便捷、用工匹配更高效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1"/>
        <w:textAlignment w:val="auto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  <w:highlight w:val="auto"/>
        </w:rPr>
        <w:t>所提供的家门口就业服务站线上平台应当满足信创要求，通过等级保护2.0三级测评以及商用密码应用安全性评估（密评）。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/>
        <w:jc w:val="center"/>
        <w:textAlignment w:val="auto"/>
        <w:rPr>
          <w:rFonts w:ascii="仿宋_GB2312" w:eastAsia="仿宋_GB2312" w:cs="仿宋_GB2312" w:hint="eastAsia"/>
          <w:b/>
          <w:bCs/>
          <w:color w:val="auto"/>
          <w:sz w:val="32"/>
          <w:szCs w:val="32"/>
          <w:lang w:val="en-US" w:eastAsia="zh-CN"/>
          <w:highlight w:val="auto"/>
        </w:rPr>
      </w:pPr>
      <w:r>
        <w:rPr>
          <w:rFonts w:ascii="方正小标宋简体" w:eastAsia="方正小标宋简体" w:cs="方正小标宋简体" w:hint="eastAsia"/>
          <w:b w:val="0"/>
          <w:bCs w:val="0"/>
          <w:color w:val="auto"/>
          <w:sz w:val="32"/>
          <w:szCs w:val="32"/>
          <w:lang w:val="en-US" w:eastAsia="zh-CN"/>
          <w:highlight w:val="auto"/>
        </w:rPr>
        <w:t>家门口就业服务站线上平台服务需求内容</w:t>
      </w:r>
    </w:p>
    <w:tbl>
      <w:tblPr>
        <w:jc w:val="center"/>
        <w:tblW w:w="10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005"/>
        <w:gridCol w:w="6210"/>
      </w:tblGrid>
      <w:tr>
        <w:trPr>
          <w:trHeight w:val="517"/>
        </w:trPr>
        <w:tc>
          <w:tcPr>
            <w:tcW w:w="1004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黑体" w:eastAsia="黑体" w:cs="黑体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黑体" w:eastAsia="黑体" w:cs="黑体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序号</w:t>
            </w:r>
          </w:p>
        </w:tc>
        <w:tc>
          <w:tcPr>
            <w:tcW w:w="3005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黑体" w:eastAsia="黑体" w:cs="黑体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黑体" w:eastAsia="黑体" w:cs="黑体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服务项</w:t>
            </w:r>
          </w:p>
        </w:tc>
        <w:tc>
          <w:tcPr>
            <w:tcW w:w="6210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黑体" w:eastAsia="黑体" w:cs="黑体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黑体" w:eastAsia="黑体" w:cs="黑体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服务内容</w:t>
            </w:r>
          </w:p>
        </w:tc>
      </w:tr>
      <w:tr>
        <w:trPr>
          <w:trHeight w:val="2849"/>
        </w:trPr>
        <w:tc>
          <w:tcPr>
            <w:tcW w:w="100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1</w:t>
            </w:r>
          </w:p>
        </w:tc>
        <w:tc>
          <w:tcPr>
            <w:tcW w:w="3005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提供微信小程序服务</w:t>
            </w:r>
          </w:p>
        </w:tc>
        <w:tc>
          <w:tcPr>
            <w:tcW w:w="621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both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需实现求职方、中介和雇主方实现线上供需对接、岗位智能匹配、线上支付、招聘活动、视频面试、诚信互评、投诉建议和数据统计等功能，同时提供与微信支付、莆田人才网、运营商短信接口、保险公司接口和人社数据共享平台对接，让线上平台服务更便捷、用工匹配更高效。</w:t>
            </w:r>
          </w:p>
        </w:tc>
      </w:tr>
      <w:tr>
        <w:trPr>
          <w:trHeight w:val="90"/>
        </w:trPr>
        <w:tc>
          <w:tcPr>
            <w:tcW w:w="100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2</w:t>
            </w:r>
          </w:p>
        </w:tc>
        <w:tc>
          <w:tcPr>
            <w:tcW w:w="3005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提供综合管理系统服务</w:t>
            </w:r>
          </w:p>
        </w:tc>
        <w:tc>
          <w:tcPr>
            <w:tcW w:w="621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both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系统需要实现多维度监控、工作台时效预警、家门口就业服务站全业务台账统一管理、用工交互全链路追踪、统计分析看板和资金流监管等功能。</w:t>
            </w:r>
          </w:p>
        </w:tc>
      </w:tr>
      <w:tr>
        <w:trPr>
          <w:trHeight w:val="924"/>
        </w:trPr>
        <w:tc>
          <w:tcPr>
            <w:tcW w:w="100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3</w:t>
            </w:r>
          </w:p>
        </w:tc>
        <w:tc>
          <w:tcPr>
            <w:tcW w:w="3005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提供数据驾驶舱服务</w:t>
            </w:r>
          </w:p>
        </w:tc>
        <w:tc>
          <w:tcPr>
            <w:tcW w:w="621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both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需提供驾驶舱动态聚合全域家门口就业服务站核心指标，实时监测区域岗位供需态势及工单签订趋势；通过地图呈现岗位数、求职数和签订工单在各区县分布情况，深度分析零工画像与工种结构；同步追踪工单签订趋势及零工保险赔付情况等，对接接入全市一张图服务。</w:t>
            </w:r>
          </w:p>
        </w:tc>
      </w:tr>
      <w:tr>
        <w:trPr>
          <w:trHeight w:val="3579"/>
        </w:trPr>
        <w:tc>
          <w:tcPr>
            <w:tcW w:w="100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4</w:t>
            </w:r>
          </w:p>
        </w:tc>
        <w:tc>
          <w:tcPr>
            <w:tcW w:w="3005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提供惠民宝H5对接服务</w:t>
            </w:r>
          </w:p>
        </w:tc>
        <w:tc>
          <w:tcPr>
            <w:tcW w:w="621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both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需提供用于莆田惠民宝App的家门口就业服务站求职招聘H5页面，包括家门口就业服务站首页、服务站数据采集服务、求职方-求职服务、中介方-中介服务、雇主方-用工服务等模块的H5页面。</w:t>
            </w:r>
          </w:p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both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服务站数据采集服务，用于家门口就业服务站采集服务站核心数据，包括岗位需求、求职信息、匹配成功情况及薪资水平。</w:t>
            </w:r>
          </w:p>
        </w:tc>
      </w:tr>
      <w:tr>
        <w:trPr>
          <w:trHeight w:val="2240"/>
        </w:trPr>
        <w:tc>
          <w:tcPr>
            <w:tcW w:w="100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5</w:t>
            </w:r>
          </w:p>
        </w:tc>
        <w:tc>
          <w:tcPr>
            <w:tcW w:w="3005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提供WEB平台服务</w:t>
            </w:r>
          </w:p>
        </w:tc>
        <w:tc>
          <w:tcPr>
            <w:tcW w:w="621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both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需提供一个家门口服务站的求职招聘web平台服务，主要用于提供家门口服务站相关信息，包括综合搜索、公告展示、找活干、找工人等模块，对接“数智人社”服务平台等服务</w:t>
            </w:r>
          </w:p>
        </w:tc>
      </w:tr>
      <w:tr>
        <w:trPr>
          <w:trHeight w:val="1804"/>
        </w:trPr>
        <w:tc>
          <w:tcPr>
            <w:tcW w:w="1004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6</w:t>
            </w:r>
          </w:p>
        </w:tc>
        <w:tc>
          <w:tcPr>
            <w:tcW w:w="3005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提供省级平台数据上报对接服务</w:t>
            </w:r>
          </w:p>
        </w:tc>
        <w:tc>
          <w:tcPr>
            <w:tcW w:w="6210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both"/>
              <w:textAlignment w:val="auto"/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根据省平台的接口规范及上报数据项要求，可以完成不同平台的数据整合汇聚、梳理，确保数据完整性、准确性及实时性，完全符合省级监管要求。</w:t>
            </w:r>
          </w:p>
        </w:tc>
      </w:tr>
    </w:tbl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ascii="黑体" w:eastAsia="黑体" w:cs="黑体" w:hint="eastAsia"/>
          <w:color w:val="auto"/>
          <w:sz w:val="32"/>
          <w:szCs w:val="32"/>
          <w:lang w:eastAsia="zh-CN"/>
          <w:highlight w:val="auto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ascii="黑体" w:eastAsia="黑体" w:cs="黑体" w:hint="eastAsia"/>
          <w:color w:val="auto"/>
          <w:sz w:val="32"/>
          <w:szCs w:val="32"/>
          <w:lang w:eastAsia="zh-CN"/>
          <w:highlight w:val="auto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ascii="黑体" w:eastAsia="黑体" w:cs="黑体" w:hint="eastAsia"/>
          <w:color w:val="auto"/>
          <w:sz w:val="32"/>
          <w:szCs w:val="32"/>
          <w:lang w:eastAsia="zh-CN"/>
          <w:highlight w:val="auto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ascii="黑体" w:eastAsia="黑体" w:cs="黑体" w:hint="eastAsia"/>
          <w:color w:val="auto"/>
          <w:sz w:val="32"/>
          <w:szCs w:val="32"/>
          <w:lang w:eastAsia="zh-CN"/>
          <w:highlight w:val="auto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ascii="黑体" w:eastAsia="黑体" w:cs="黑体" w:hint="eastAsia"/>
          <w:color w:val="auto"/>
          <w:sz w:val="32"/>
          <w:szCs w:val="32"/>
          <w:lang w:eastAsia="zh-CN"/>
          <w:highlight w:val="auto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ascii="黑体" w:eastAsia="黑体" w:cs="黑体" w:hint="eastAsia"/>
          <w:color w:val="auto"/>
          <w:sz w:val="32"/>
          <w:szCs w:val="32"/>
          <w:lang w:eastAsia="zh-CN"/>
          <w:highlight w:val="auto"/>
        </w:rPr>
        <w:sectPr>
          <w:pgSz w:w="11906" w:h="16838"/>
          <w:pgMar w:top="2098" w:right="1417" w:bottom="1587" w:left="1587" w:header="851" w:footer="1361" w:gutter="0"/>
          <w:pgNumType w:fmt="numberInDash"/>
          <w:docGrid w:type="lines" w:linePitch="312" w:charSpace="0"/>
        </w:sect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ascii="黑体" w:eastAsia="黑体" w:cs="黑体" w:hint="eastAsia"/>
          <w:color w:val="auto"/>
          <w:sz w:val="32"/>
          <w:szCs w:val="32"/>
          <w:lang w:val="en-US" w:eastAsia="zh-CN"/>
          <w:highlight w:val="auto"/>
        </w:rPr>
      </w:pPr>
      <w:r>
        <w:rPr>
          <w:rFonts w:ascii="黑体" w:eastAsia="黑体" w:cs="黑体" w:hint="eastAsia"/>
          <w:color w:val="auto"/>
          <w:sz w:val="32"/>
          <w:szCs w:val="32"/>
          <w:lang w:eastAsia="zh-CN"/>
          <w:highlight w:val="auto"/>
        </w:rPr>
        <w:t>附件</w:t>
      </w:r>
      <w:r>
        <w:rPr>
          <w:rFonts w:ascii="黑体" w:eastAsia="黑体" w:cs="黑体" w:hint="eastAsia"/>
          <w:color w:val="auto"/>
          <w:sz w:val="32"/>
          <w:szCs w:val="32"/>
          <w:lang w:val="en-US" w:eastAsia="zh-CN"/>
          <w:highlight w:val="auto"/>
        </w:rPr>
        <w:t>2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ascii="仿宋_GB2312" w:eastAsia="仿宋_GB2312" w:cs="仿宋_GB2312" w:hint="eastAsia"/>
          <w:color w:val="auto"/>
          <w:sz w:val="28"/>
          <w:szCs w:val="28"/>
          <w:lang w:val="en-US" w:eastAsia="zh-CN"/>
          <w:highlight w:val="auto"/>
        </w:rPr>
      </w:pP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ascii="方正小标宋简体" w:eastAsia="方正小标宋简体" w:cs="方正小标宋简体" w:hint="eastAsia"/>
          <w:b w:val="0"/>
          <w:bCs w:val="0"/>
          <w:color w:val="auto"/>
          <w:sz w:val="44"/>
          <w:szCs w:val="44"/>
          <w:lang w:val="en-US" w:eastAsia="zh-CN"/>
          <w:highlight w:val="auto"/>
        </w:rPr>
      </w:pPr>
      <w:r>
        <w:rPr>
          <w:rFonts w:ascii="方正小标宋简体" w:eastAsia="方正小标宋简体" w:cs="方正小标宋简体" w:hint="eastAsia"/>
          <w:b w:val="0"/>
          <w:bCs w:val="0"/>
          <w:color w:val="auto"/>
          <w:sz w:val="44"/>
          <w:szCs w:val="44"/>
          <w:lang w:val="en-US" w:eastAsia="zh-CN"/>
          <w:highlight w:val="auto"/>
        </w:rPr>
        <w:t>报 价 单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  <w:highlight w:val="auto"/>
        </w:rPr>
        <w:t>盖章：</w:t>
      </w:r>
    </w:p>
    <w:tbl>
      <w:tblPr>
        <w:jc w:val="center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575"/>
        <w:gridCol w:w="1575"/>
        <w:gridCol w:w="1576"/>
        <w:gridCol w:w="1797"/>
        <w:gridCol w:w="1797"/>
      </w:tblGrid>
      <w:tr>
        <w:tc>
          <w:tcPr>
            <w:tcW w:w="1575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仿宋_GB2312" w:eastAsia="仿宋_GB2312" w:cs="仿宋_GB2312" w:hint="eastAsia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企业名称</w:t>
            </w:r>
          </w:p>
        </w:tc>
        <w:tc>
          <w:tcPr>
            <w:tcW w:w="1575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仿宋_GB2312" w:eastAsia="仿宋_GB2312" w:cs="仿宋_GB2312" w:hint="eastAsia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联系人</w:t>
            </w:r>
          </w:p>
        </w:tc>
        <w:tc>
          <w:tcPr>
            <w:tcW w:w="1575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仿宋_GB2312" w:eastAsia="仿宋_GB2312" w:cs="仿宋_GB2312" w:hint="eastAsia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联系电话</w:t>
            </w:r>
          </w:p>
        </w:tc>
        <w:tc>
          <w:tcPr>
            <w:tcW w:w="1576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仿宋_GB2312" w:eastAsia="仿宋_GB2312" w:cs="仿宋_GB2312" w:hint="eastAsia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项目名称</w:t>
            </w:r>
          </w:p>
        </w:tc>
        <w:tc>
          <w:tcPr>
            <w:tcW w:w="179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仿宋_GB2312" w:eastAsia="仿宋_GB2312" w:cs="仿宋_GB2312" w:hint="eastAsia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每年服务费(万元)</w:t>
            </w:r>
          </w:p>
        </w:tc>
        <w:tc>
          <w:tcPr>
            <w:tcW w:w="1797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仿宋_GB2312" w:eastAsia="仿宋_GB2312" w:cs="仿宋_GB2312" w:hint="eastAsia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总服务费用</w:t>
            </w:r>
          </w:p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仿宋_GB2312" w:eastAsia="仿宋_GB2312" w:cs="仿宋_GB2312" w:hint="eastAsia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  <w:t>（万元）</w:t>
            </w:r>
          </w:p>
        </w:tc>
      </w:tr>
      <w:tr>
        <w:tc>
          <w:tcPr>
            <w:tcW w:w="1575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ascii="仿宋_GB2312" w:eastAsia="仿宋_GB2312" w:cs="仿宋_GB2312" w:hint="eastAsia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</w:p>
        </w:tc>
        <w:tc>
          <w:tcPr>
            <w:tcW w:w="1575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ascii="仿宋_GB2312" w:eastAsia="仿宋_GB2312" w:cs="仿宋_GB2312" w:hint="eastAsia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</w:p>
        </w:tc>
        <w:tc>
          <w:tcPr>
            <w:tcW w:w="1575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ascii="仿宋_GB2312" w:eastAsia="仿宋_GB2312" w:cs="仿宋_GB2312" w:hint="eastAsia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</w:p>
        </w:tc>
        <w:tc>
          <w:tcPr>
            <w:tcW w:w="1576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ascii="仿宋_GB2312" w:eastAsia="仿宋_GB2312" w:cs="仿宋_GB2312" w:hint="eastAsia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en-US" w:eastAsia="zh-CN"/>
              </w:rPr>
              <w:t>“家门口”就业线上服务采购项目</w:t>
            </w:r>
          </w:p>
        </w:tc>
        <w:tc>
          <w:tcPr>
            <w:tcW w:w="1797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ascii="仿宋_GB2312" w:eastAsia="仿宋_GB2312" w:cs="仿宋_GB2312" w:hint="eastAsia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</w:p>
        </w:tc>
        <w:tc>
          <w:tcPr>
            <w:tcW w:w="1797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ascii="仿宋_GB2312" w:eastAsia="仿宋_GB2312" w:cs="仿宋_GB2312" w:hint="eastAsia"/>
                <w:color w:val="auto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仿宋_GB2312" w:hint="eastAsia"/>
          <w:sz w:val="32"/>
          <w:szCs w:val="32"/>
          <w:lang w:eastAsia="zh-CN"/>
        </w:rPr>
      </w:pPr>
    </w:p>
    <w:sectPr>
      <w:pgSz w:w="11906" w:h="16838"/>
      <w:pgMar w:top="2098" w:right="1417" w:bottom="1587" w:left="1587" w:header="851" w:footer="1361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variable"/>
    <w:sig w:usb0="00000000" w:usb1="00000000" w:usb2="00000016" w:usb3="00000000" w:csb0="00040001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Noto Sans CJK SC"/>
    <w:panose1 w:val="02020603050405020304"/>
    <w:charset w:val="86"/>
    <w:family w:val="auto"/>
    <w:pitch w:val="variable"/>
    <w:sig w:usb0="00000000" w:usb1="00000000" w:usb2="00000008" w:usb3="00000000" w:csb0="400001FF" w:csb1="FFFF0000"/>
  </w:font>
  <w:font w:name="Calibri"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Luxi Sans">
    <w:altName w:val="Noto Sans CJK SC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28498" cy="25603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28498" cy="256031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Chars="100" w:right="210"/>
                            <w:textAlignment w:val="auto"/>
                            <w:rPr>
                              <w:rFonts w:ascii="宋体" w:eastAsia="宋体" w:cs="宋体" w:hint="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strokeweight="0.5pt" style="position:absolute;&#10;margin-left:0.0pt;&#10;margin-top:0.0pt;&#10;width:33.74001pt;&#10;height:20.159971pt;&#10;z-index:10;&#10;mso-position-horizontal:outside;&#10;mso-position-horizontal-relative:margin;&#10;mso-position-vertical:absolute;&#10;mso-wrap-distance-left:8.999863pt;&#10;mso-wrap-distance-right:8.999863pt;&#10;mso-wrap-style:none;">
              <v:stroke color="#000000"/>
              <v:textbox id="848" inset="0mm,0mm,0mm,0mm" o:insetmode="custom" style="layout-flow:horizontal;&#10;v-text-anchor:top;&#10;mso-fit-shape-to-text:t;">
                <w:txbxContent>
                  <w:p>
                    <w:pPr>
                      <w:pStyle w:val="15"/>
                      <w:keepNext w:val="0"/>
                      <w:keepLines w:val="0"/>
                      <w:pageBreakBefore w:val="0"/>
                      <w:widowControl w:val="0"/>
                      <w:tabs>
                        <w:tab w:val="center" w:pos="4153"/>
                        <w:tab w:val="right" w:pos="8306"/>
                      </w:tabs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Chars="100" w:right="210"/>
                      <w:textAlignment w:val="auto"/>
                      <w:rPr>
                        <w:rFonts w:ascii="宋体" w:eastAsia="宋体" w:cs="宋体" w:hint="eastAsia"/>
                        <w:sz w:val="28"/>
                        <w:szCs w:val="44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宋体" w:eastAsia="宋体" w:cs="宋体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4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Normal (Web)"/>
    <w:basedOn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4</Pages>
  <Words>1118</Words>
  <Characters>1147</Characters>
  <Lines>104</Lines>
  <Paragraphs>46</Paragraphs>
  <CharactersWithSpaces>1228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vivo用户</cp:lastModifiedBy>
  <cp:revision>0</cp:revision>
  <dcterms:modified xsi:type="dcterms:W3CDTF">2025-09-11T09:41:52Z</dcterms:modified>
</cp:coreProperties>
</file>